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15583" w14:textId="77777777" w:rsidR="00D260C0" w:rsidRDefault="00AD00A4" w:rsidP="00AD00A4">
      <w:pPr>
        <w:spacing w:before="120" w:after="120" w:line="264" w:lineRule="auto"/>
        <w:ind w:right="537"/>
        <w:rPr>
          <w:b/>
          <w:bCs/>
          <w:color w:val="auto"/>
          <w:sz w:val="24"/>
          <w:szCs w:val="24"/>
          <w:lang w:val="en-NZ"/>
        </w:rPr>
      </w:pPr>
      <w:r w:rsidRPr="00AD00A4">
        <w:rPr>
          <w:b/>
          <w:bCs/>
          <w:color w:val="auto"/>
          <w:sz w:val="24"/>
          <w:szCs w:val="24"/>
          <w:lang w:val="en-NZ"/>
        </w:rPr>
        <w:t>ISSA – APAC Accelerated Settlement WG</w:t>
      </w:r>
      <w:r w:rsidR="00FF2E2B">
        <w:rPr>
          <w:b/>
          <w:bCs/>
          <w:color w:val="auto"/>
          <w:sz w:val="24"/>
          <w:szCs w:val="24"/>
          <w:lang w:val="en-NZ"/>
        </w:rPr>
        <w:t xml:space="preserve"> </w:t>
      </w:r>
      <w:r w:rsidRPr="00AD00A4">
        <w:rPr>
          <w:b/>
          <w:bCs/>
          <w:color w:val="auto"/>
          <w:sz w:val="24"/>
          <w:szCs w:val="24"/>
          <w:lang w:val="en-NZ"/>
        </w:rPr>
        <w:t>-  Information Repository</w:t>
      </w:r>
      <w:r w:rsidR="00D260C0">
        <w:rPr>
          <w:b/>
          <w:bCs/>
          <w:color w:val="auto"/>
          <w:sz w:val="24"/>
          <w:szCs w:val="24"/>
          <w:lang w:val="en-NZ"/>
        </w:rPr>
        <w:t xml:space="preserve"> </w:t>
      </w:r>
    </w:p>
    <w:p w14:paraId="7836084D" w14:textId="0703FCAA" w:rsidR="00AD00A4" w:rsidRPr="00FF2E2B" w:rsidRDefault="00FF2E2B" w:rsidP="00AD00A4">
      <w:pPr>
        <w:spacing w:before="120" w:after="120" w:line="264" w:lineRule="auto"/>
        <w:ind w:right="537"/>
        <w:rPr>
          <w:b/>
          <w:bCs/>
          <w:i/>
          <w:iCs/>
          <w:color w:val="auto"/>
          <w:sz w:val="20"/>
          <w:szCs w:val="20"/>
          <w:lang w:val="en-NZ"/>
        </w:rPr>
      </w:pPr>
      <w:r w:rsidRPr="00FF2E2B">
        <w:rPr>
          <w:b/>
          <w:bCs/>
          <w:i/>
          <w:iCs/>
          <w:color w:val="auto"/>
          <w:sz w:val="20"/>
          <w:szCs w:val="20"/>
          <w:lang w:val="en-NZ"/>
        </w:rPr>
        <w:t xml:space="preserve">Last updated: </w:t>
      </w:r>
      <w:r w:rsidR="00973487">
        <w:rPr>
          <w:b/>
          <w:bCs/>
          <w:i/>
          <w:iCs/>
          <w:color w:val="auto"/>
          <w:sz w:val="20"/>
          <w:szCs w:val="20"/>
          <w:lang w:val="en-NZ"/>
        </w:rPr>
        <w:t>1</w:t>
      </w:r>
      <w:r w:rsidR="00D8007B">
        <w:rPr>
          <w:b/>
          <w:bCs/>
          <w:i/>
          <w:iCs/>
          <w:color w:val="auto"/>
          <w:sz w:val="20"/>
          <w:szCs w:val="20"/>
          <w:lang w:val="en-NZ"/>
        </w:rPr>
        <w:t>4</w:t>
      </w:r>
      <w:r w:rsidR="00973487">
        <w:rPr>
          <w:b/>
          <w:bCs/>
          <w:i/>
          <w:iCs/>
          <w:color w:val="auto"/>
          <w:sz w:val="20"/>
          <w:szCs w:val="20"/>
          <w:lang w:val="en-NZ"/>
        </w:rPr>
        <w:t xml:space="preserve"> July </w:t>
      </w:r>
      <w:r w:rsidR="00D8007B">
        <w:rPr>
          <w:b/>
          <w:bCs/>
          <w:i/>
          <w:iCs/>
          <w:color w:val="auto"/>
          <w:sz w:val="20"/>
          <w:szCs w:val="20"/>
          <w:lang w:val="en-NZ"/>
        </w:rPr>
        <w:t>2026</w:t>
      </w:r>
    </w:p>
    <w:tbl>
      <w:tblPr>
        <w:tblStyle w:val="TableGrid"/>
        <w:tblW w:w="14454" w:type="dxa"/>
        <w:tblLook w:val="04A0" w:firstRow="1" w:lastRow="0" w:firstColumn="1" w:lastColumn="0" w:noHBand="0" w:noVBand="1"/>
      </w:tblPr>
      <w:tblGrid>
        <w:gridCol w:w="1459"/>
        <w:gridCol w:w="5914"/>
        <w:gridCol w:w="7081"/>
      </w:tblGrid>
      <w:tr w:rsidR="00AD00A4" w:rsidRPr="00C55371" w14:paraId="4B175CD7" w14:textId="77777777" w:rsidTr="00A04E58">
        <w:trPr>
          <w:cnfStyle w:val="100000000000" w:firstRow="1" w:lastRow="0" w:firstColumn="0" w:lastColumn="0" w:oddVBand="0" w:evenVBand="0" w:oddHBand="0" w:evenHBand="0" w:firstRowFirstColumn="0" w:firstRowLastColumn="0" w:lastRowFirstColumn="0" w:lastRowLastColumn="0"/>
          <w:tblHeader/>
        </w:trPr>
        <w:tc>
          <w:tcPr>
            <w:tcW w:w="1459" w:type="dxa"/>
            <w:vAlign w:val="top"/>
          </w:tcPr>
          <w:p w14:paraId="4BE96BA8" w14:textId="77777777" w:rsidR="00AD00A4" w:rsidRPr="00C55371" w:rsidRDefault="00AD00A4" w:rsidP="009D2427">
            <w:pPr>
              <w:spacing w:line="264" w:lineRule="auto"/>
              <w:ind w:right="537"/>
              <w:rPr>
                <w:sz w:val="18"/>
                <w:szCs w:val="18"/>
                <w:lang w:val="en-NZ"/>
              </w:rPr>
            </w:pPr>
            <w:r w:rsidRPr="00C55371">
              <w:rPr>
                <w:sz w:val="18"/>
                <w:szCs w:val="18"/>
                <w:lang w:val="en-NZ"/>
              </w:rPr>
              <w:t>Market</w:t>
            </w:r>
          </w:p>
        </w:tc>
        <w:tc>
          <w:tcPr>
            <w:tcW w:w="5914" w:type="dxa"/>
            <w:vAlign w:val="top"/>
          </w:tcPr>
          <w:p w14:paraId="54D3E545" w14:textId="77777777" w:rsidR="00AD00A4" w:rsidRPr="00C55371" w:rsidRDefault="00AD00A4" w:rsidP="009D2427">
            <w:pPr>
              <w:spacing w:line="264" w:lineRule="auto"/>
              <w:ind w:right="537"/>
              <w:rPr>
                <w:sz w:val="18"/>
                <w:szCs w:val="18"/>
                <w:lang w:val="en-NZ"/>
              </w:rPr>
            </w:pPr>
            <w:r w:rsidRPr="00C55371">
              <w:rPr>
                <w:sz w:val="18"/>
                <w:szCs w:val="18"/>
                <w:lang w:val="en-NZ"/>
              </w:rPr>
              <w:t>Author and Publication</w:t>
            </w:r>
          </w:p>
        </w:tc>
        <w:tc>
          <w:tcPr>
            <w:tcW w:w="7081" w:type="dxa"/>
            <w:vAlign w:val="top"/>
          </w:tcPr>
          <w:p w14:paraId="600F6EB7" w14:textId="77777777" w:rsidR="00AD00A4" w:rsidRPr="00C55371" w:rsidRDefault="00AD00A4" w:rsidP="009D2427">
            <w:pPr>
              <w:spacing w:line="264" w:lineRule="auto"/>
              <w:ind w:right="537"/>
              <w:rPr>
                <w:sz w:val="18"/>
                <w:szCs w:val="18"/>
                <w:lang w:val="en-NZ"/>
              </w:rPr>
            </w:pPr>
            <w:r w:rsidRPr="00C55371">
              <w:rPr>
                <w:sz w:val="18"/>
                <w:szCs w:val="18"/>
                <w:lang w:val="en-NZ"/>
              </w:rPr>
              <w:t>Comments</w:t>
            </w:r>
          </w:p>
        </w:tc>
      </w:tr>
      <w:tr w:rsidR="00AD00A4" w:rsidRPr="00C55371" w14:paraId="3B9B8B66" w14:textId="77777777" w:rsidTr="00A04E58">
        <w:tc>
          <w:tcPr>
            <w:tcW w:w="1459" w:type="dxa"/>
            <w:vAlign w:val="top"/>
          </w:tcPr>
          <w:p w14:paraId="5A516F55" w14:textId="77777777" w:rsidR="00AD00A4" w:rsidRPr="00C55371" w:rsidRDefault="00AD00A4" w:rsidP="009D2427">
            <w:pPr>
              <w:spacing w:line="264" w:lineRule="auto"/>
              <w:ind w:right="537"/>
              <w:rPr>
                <w:sz w:val="18"/>
                <w:szCs w:val="18"/>
                <w:lang w:val="en-NZ"/>
              </w:rPr>
            </w:pPr>
            <w:r w:rsidRPr="00C55371">
              <w:rPr>
                <w:sz w:val="18"/>
                <w:szCs w:val="18"/>
                <w:lang w:val="en-NZ"/>
              </w:rPr>
              <w:t>Australia</w:t>
            </w:r>
          </w:p>
        </w:tc>
        <w:tc>
          <w:tcPr>
            <w:tcW w:w="5914" w:type="dxa"/>
            <w:vAlign w:val="top"/>
          </w:tcPr>
          <w:p w14:paraId="0128F7CF" w14:textId="176CABC8" w:rsidR="00AD00A4" w:rsidRPr="00C55371" w:rsidRDefault="00AD00A4" w:rsidP="009D2427">
            <w:pPr>
              <w:spacing w:line="264" w:lineRule="auto"/>
              <w:ind w:right="537"/>
              <w:rPr>
                <w:sz w:val="18"/>
                <w:szCs w:val="18"/>
                <w:lang w:val="en-NZ"/>
              </w:rPr>
            </w:pPr>
            <w:r w:rsidRPr="00C55371">
              <w:rPr>
                <w:sz w:val="18"/>
                <w:szCs w:val="18"/>
                <w:lang w:val="en-NZ"/>
              </w:rPr>
              <w:t>ASCA</w:t>
            </w:r>
            <w:r w:rsidRPr="00AD00A4">
              <w:rPr>
                <w:color w:val="0070C0"/>
                <w:sz w:val="18"/>
                <w:szCs w:val="18"/>
                <w:lang w:val="en-NZ"/>
              </w:rPr>
              <w:t xml:space="preserve"> </w:t>
            </w:r>
            <w:hyperlink r:id="rId5" w:history="1">
              <w:r w:rsidR="004B4253" w:rsidRPr="00DC0898">
                <w:rPr>
                  <w:rStyle w:val="Hyperlink"/>
                  <w:sz w:val="18"/>
                  <w:szCs w:val="18"/>
                </w:rPr>
                <w:t>https://acsa.com.au/resource/resmgr/files/acsa_t1_position_paper.pdf</w:t>
              </w:r>
            </w:hyperlink>
          </w:p>
          <w:p w14:paraId="4970117E" w14:textId="77777777" w:rsidR="00AD00A4" w:rsidRDefault="00AD00A4" w:rsidP="009D2427">
            <w:pPr>
              <w:spacing w:line="264" w:lineRule="auto"/>
              <w:ind w:right="537"/>
            </w:pPr>
            <w:r w:rsidRPr="00C55371">
              <w:rPr>
                <w:sz w:val="18"/>
                <w:szCs w:val="18"/>
                <w:lang w:val="en-NZ"/>
              </w:rPr>
              <w:t xml:space="preserve">ASX </w:t>
            </w:r>
            <w:hyperlink r:id="rId6" w:history="1">
              <w:r w:rsidRPr="00AD00A4">
                <w:rPr>
                  <w:rStyle w:val="Hyperlink"/>
                  <w:color w:val="0070C0"/>
                  <w:sz w:val="18"/>
                  <w:szCs w:val="18"/>
                  <w:lang w:val="en-NZ"/>
                </w:rPr>
                <w:t>https://www.asx.com.au/content/dam/asx/markets/clearing-and-settlement-services/t1-whitepaper-042024.pdf</w:t>
              </w:r>
            </w:hyperlink>
          </w:p>
          <w:p w14:paraId="460F9161" w14:textId="625C5780" w:rsidR="00EC52FC" w:rsidRDefault="00F501BA" w:rsidP="00F95F25">
            <w:pPr>
              <w:spacing w:line="264" w:lineRule="auto"/>
              <w:ind w:right="537"/>
              <w:rPr>
                <w:sz w:val="18"/>
                <w:szCs w:val="18"/>
                <w:lang w:val="en-NZ"/>
              </w:rPr>
            </w:pPr>
            <w:hyperlink r:id="rId7" w:history="1">
              <w:r w:rsidRPr="0048319B">
                <w:rPr>
                  <w:rStyle w:val="Hyperlink"/>
                  <w:sz w:val="18"/>
                  <w:szCs w:val="18"/>
                  <w:lang w:val="en-NZ"/>
                </w:rPr>
                <w:t>https://www.business.hsbc.com/en-gb/financial-regulations/tplus1-settlement-cycle</w:t>
              </w:r>
            </w:hyperlink>
          </w:p>
          <w:p w14:paraId="1BB77134" w14:textId="2A6261D6" w:rsidR="00F501BA" w:rsidRPr="00C55371" w:rsidRDefault="00F501BA" w:rsidP="00F501BA">
            <w:pPr>
              <w:spacing w:line="264" w:lineRule="auto"/>
              <w:ind w:right="537"/>
              <w:rPr>
                <w:sz w:val="18"/>
                <w:szCs w:val="18"/>
                <w:lang w:val="en-NZ"/>
              </w:rPr>
            </w:pPr>
            <w:r>
              <w:rPr>
                <w:sz w:val="18"/>
                <w:szCs w:val="18"/>
                <w:lang w:val="en-NZ"/>
              </w:rPr>
              <w:t xml:space="preserve">Comms: </w:t>
            </w:r>
            <w:hyperlink r:id="rId8" w:history="1">
              <w:r w:rsidRPr="0048319B">
                <w:rPr>
                  <w:rStyle w:val="Hyperlink"/>
                  <w:sz w:val="18"/>
                  <w:szCs w:val="18"/>
                  <w:lang w:val="en-NZ"/>
                </w:rPr>
                <w:t>https://www.asx.com.au/markets/clearing-and-settlement-services/t1-settlement-cycle</w:t>
              </w:r>
            </w:hyperlink>
          </w:p>
        </w:tc>
        <w:tc>
          <w:tcPr>
            <w:tcW w:w="7081" w:type="dxa"/>
            <w:vAlign w:val="top"/>
          </w:tcPr>
          <w:p w14:paraId="677EA9C9" w14:textId="77777777" w:rsidR="00AD00A4" w:rsidRPr="00C55371" w:rsidRDefault="00AD00A4" w:rsidP="009D2427">
            <w:pPr>
              <w:spacing w:line="264" w:lineRule="auto"/>
              <w:ind w:right="537"/>
              <w:rPr>
                <w:sz w:val="18"/>
                <w:szCs w:val="18"/>
                <w:lang w:val="en-NZ"/>
              </w:rPr>
            </w:pPr>
            <w:r w:rsidRPr="00C55371">
              <w:rPr>
                <w:sz w:val="18"/>
                <w:szCs w:val="18"/>
                <w:lang w:val="en-NZ"/>
              </w:rPr>
              <w:t>Survey insights</w:t>
            </w:r>
          </w:p>
          <w:p w14:paraId="3224C7B6" w14:textId="77777777" w:rsidR="00AD00A4" w:rsidRDefault="00AD00A4" w:rsidP="009D2427">
            <w:pPr>
              <w:spacing w:line="264" w:lineRule="auto"/>
              <w:ind w:right="537"/>
              <w:rPr>
                <w:sz w:val="18"/>
                <w:szCs w:val="18"/>
                <w:lang w:val="en-NZ"/>
              </w:rPr>
            </w:pPr>
            <w:r w:rsidRPr="00C55371">
              <w:rPr>
                <w:sz w:val="18"/>
                <w:szCs w:val="18"/>
                <w:lang w:val="en-NZ"/>
              </w:rPr>
              <w:t>Invitation for feedback</w:t>
            </w:r>
          </w:p>
          <w:p w14:paraId="6AB73B5B" w14:textId="77777777" w:rsidR="009C6A3D" w:rsidRDefault="009C6A3D" w:rsidP="009D2427">
            <w:pPr>
              <w:spacing w:line="264" w:lineRule="auto"/>
              <w:ind w:right="537"/>
              <w:rPr>
                <w:sz w:val="18"/>
                <w:szCs w:val="18"/>
                <w:lang w:val="en-NZ"/>
              </w:rPr>
            </w:pPr>
          </w:p>
          <w:p w14:paraId="33FC75FD" w14:textId="77777777" w:rsidR="009C6A3D" w:rsidRDefault="009C6A3D" w:rsidP="009D2427">
            <w:pPr>
              <w:spacing w:line="264" w:lineRule="auto"/>
              <w:ind w:right="537"/>
              <w:rPr>
                <w:sz w:val="18"/>
                <w:szCs w:val="18"/>
                <w:lang w:val="en-NZ"/>
              </w:rPr>
            </w:pPr>
          </w:p>
          <w:p w14:paraId="6315BAC5" w14:textId="77777777" w:rsidR="009C6A3D" w:rsidRDefault="009C6A3D" w:rsidP="009C6A3D">
            <w:pPr>
              <w:spacing w:line="264" w:lineRule="auto"/>
              <w:ind w:right="537"/>
              <w:rPr>
                <w:sz w:val="18"/>
                <w:szCs w:val="18"/>
              </w:rPr>
            </w:pPr>
            <w:r w:rsidRPr="006371ED">
              <w:rPr>
                <w:sz w:val="18"/>
                <w:szCs w:val="18"/>
              </w:rPr>
              <w:t>Market consensus is to transition post-CHESS replacement, earliest by 2030.</w:t>
            </w:r>
          </w:p>
          <w:p w14:paraId="01447DD2" w14:textId="453766AC" w:rsidR="00AD0226" w:rsidRPr="000F039C" w:rsidRDefault="00C4172F" w:rsidP="009C6A3D">
            <w:pPr>
              <w:spacing w:line="264" w:lineRule="auto"/>
              <w:ind w:right="537"/>
              <w:rPr>
                <w:i/>
                <w:iCs/>
                <w:sz w:val="18"/>
                <w:szCs w:val="18"/>
                <w:lang w:val="en-NZ"/>
              </w:rPr>
            </w:pPr>
            <w:r w:rsidRPr="000F039C">
              <w:rPr>
                <w:i/>
                <w:iCs/>
                <w:sz w:val="18"/>
                <w:szCs w:val="18"/>
              </w:rPr>
              <w:t xml:space="preserve">14/7/26 - </w:t>
            </w:r>
            <w:r w:rsidR="00AD0226" w:rsidRPr="000F039C">
              <w:rPr>
                <w:i/>
                <w:iCs/>
                <w:sz w:val="18"/>
                <w:szCs w:val="18"/>
              </w:rPr>
              <w:t xml:space="preserve">Per WG comments – may see </w:t>
            </w:r>
            <w:r w:rsidR="00856F57" w:rsidRPr="000F039C">
              <w:rPr>
                <w:i/>
                <w:iCs/>
                <w:sz w:val="18"/>
                <w:szCs w:val="18"/>
              </w:rPr>
              <w:t>start to engagement over next 12 mths (mid 2026 – mid 2027)…</w:t>
            </w:r>
          </w:p>
        </w:tc>
      </w:tr>
      <w:tr w:rsidR="00C1244F" w:rsidRPr="00C55371" w14:paraId="25BC9D74" w14:textId="77777777" w:rsidTr="00A04E58">
        <w:tc>
          <w:tcPr>
            <w:tcW w:w="1459" w:type="dxa"/>
            <w:vAlign w:val="top"/>
          </w:tcPr>
          <w:p w14:paraId="660E8F4D" w14:textId="55183F6A" w:rsidR="00C1244F" w:rsidRPr="00C55371" w:rsidRDefault="00C1244F" w:rsidP="009D2427">
            <w:pPr>
              <w:spacing w:line="264" w:lineRule="auto"/>
              <w:ind w:right="537"/>
              <w:rPr>
                <w:sz w:val="18"/>
                <w:szCs w:val="18"/>
                <w:lang w:val="en-NZ"/>
              </w:rPr>
            </w:pPr>
            <w:r>
              <w:rPr>
                <w:sz w:val="18"/>
                <w:szCs w:val="18"/>
                <w:lang w:val="en-NZ"/>
              </w:rPr>
              <w:t>China</w:t>
            </w:r>
          </w:p>
        </w:tc>
        <w:tc>
          <w:tcPr>
            <w:tcW w:w="5914" w:type="dxa"/>
            <w:vAlign w:val="top"/>
          </w:tcPr>
          <w:p w14:paraId="146548E0" w14:textId="77777777" w:rsidR="00C1244F" w:rsidRDefault="00B74BEE" w:rsidP="009D2427">
            <w:pPr>
              <w:spacing w:line="264" w:lineRule="auto"/>
              <w:ind w:right="537"/>
              <w:rPr>
                <w:sz w:val="18"/>
                <w:szCs w:val="18"/>
              </w:rPr>
            </w:pPr>
            <w:r w:rsidRPr="00B74BEE">
              <w:rPr>
                <w:sz w:val="18"/>
                <w:szCs w:val="18"/>
              </w:rPr>
              <w:t xml:space="preserve">Mainland China equity markets operate on a near-unique settlement cycle, with </w:t>
            </w:r>
            <w:r w:rsidRPr="00B74BEE">
              <w:rPr>
                <w:b/>
                <w:bCs/>
                <w:sz w:val="18"/>
                <w:szCs w:val="18"/>
              </w:rPr>
              <w:t>securities settled on a T+0 basis (same day)</w:t>
            </w:r>
            <w:r w:rsidRPr="00B74BEE">
              <w:rPr>
                <w:sz w:val="18"/>
                <w:szCs w:val="18"/>
              </w:rPr>
              <w:t xml:space="preserve"> and cash settled on a T+1 basis. This requires trades to be fully completed and processed within a tight, same-day window monitored by the </w:t>
            </w:r>
            <w:hyperlink r:id="rId9" w:tgtFrame="_blank" w:history="1">
              <w:r w:rsidRPr="00B74BEE">
                <w:rPr>
                  <w:rStyle w:val="Hyperlink"/>
                  <w:sz w:val="18"/>
                  <w:szCs w:val="18"/>
                </w:rPr>
                <w:t>China Securities Depository and Clearing Corporation (CSDC)</w:t>
              </w:r>
            </w:hyperlink>
            <w:r w:rsidRPr="00B74BEE">
              <w:rPr>
                <w:sz w:val="18"/>
                <w:szCs w:val="18"/>
              </w:rPr>
              <w:t xml:space="preserve">. </w:t>
            </w:r>
          </w:p>
          <w:p w14:paraId="579C58AF" w14:textId="4285A904" w:rsidR="00583F1D" w:rsidRPr="00C55371" w:rsidRDefault="00583F1D" w:rsidP="009D2427">
            <w:pPr>
              <w:spacing w:line="264" w:lineRule="auto"/>
              <w:ind w:right="537"/>
              <w:rPr>
                <w:sz w:val="18"/>
                <w:szCs w:val="18"/>
                <w:lang w:val="en-NZ"/>
              </w:rPr>
            </w:pPr>
            <w:r w:rsidRPr="00583F1D">
              <w:rPr>
                <w:b/>
                <w:bCs/>
                <w:sz w:val="18"/>
                <w:szCs w:val="18"/>
              </w:rPr>
              <w:t>Stock Connect:</w:t>
            </w:r>
            <w:r w:rsidRPr="00583F1D">
              <w:rPr>
                <w:sz w:val="18"/>
                <w:szCs w:val="18"/>
              </w:rPr>
              <w:t xml:space="preserve"> Cross-border trading via the Shanghai-Hong Kong and Shenzhen-Hong Kong Stock Connects handles settlement by linking the clearing houses. A-shares retain their local T+0 rules, while the Hong Kong leg of the trade currently operates on T+2, though HKEX is actively working on upgrading post-trade services to manage shortened settlement times</w:t>
            </w:r>
          </w:p>
        </w:tc>
        <w:tc>
          <w:tcPr>
            <w:tcW w:w="7081" w:type="dxa"/>
            <w:vAlign w:val="top"/>
          </w:tcPr>
          <w:p w14:paraId="24031801" w14:textId="77777777" w:rsidR="00C1244F" w:rsidRPr="00C55371" w:rsidRDefault="00C1244F" w:rsidP="009D2427">
            <w:pPr>
              <w:spacing w:line="264" w:lineRule="auto"/>
              <w:ind w:right="537"/>
              <w:rPr>
                <w:sz w:val="18"/>
                <w:szCs w:val="18"/>
                <w:lang w:val="en-NZ"/>
              </w:rPr>
            </w:pPr>
          </w:p>
        </w:tc>
      </w:tr>
      <w:tr w:rsidR="00AD00A4" w:rsidRPr="00C55371" w14:paraId="693FBEDC" w14:textId="77777777" w:rsidTr="00A04E58">
        <w:tc>
          <w:tcPr>
            <w:tcW w:w="1459" w:type="dxa"/>
            <w:vAlign w:val="top"/>
          </w:tcPr>
          <w:p w14:paraId="593FA50A" w14:textId="77777777" w:rsidR="00AD00A4" w:rsidRPr="00D8007B" w:rsidRDefault="00AD00A4" w:rsidP="009D2427">
            <w:pPr>
              <w:spacing w:line="264" w:lineRule="auto"/>
              <w:ind w:right="537"/>
              <w:rPr>
                <w:rFonts w:cs="Calibri"/>
                <w:sz w:val="18"/>
                <w:szCs w:val="18"/>
                <w:lang w:val="en-NZ"/>
              </w:rPr>
            </w:pPr>
            <w:r w:rsidRPr="00D8007B">
              <w:rPr>
                <w:rFonts w:cs="Calibri"/>
                <w:sz w:val="18"/>
                <w:szCs w:val="18"/>
                <w:lang w:val="en-NZ"/>
              </w:rPr>
              <w:t>Hong Kong</w:t>
            </w:r>
          </w:p>
        </w:tc>
        <w:tc>
          <w:tcPr>
            <w:tcW w:w="5914" w:type="dxa"/>
            <w:vAlign w:val="top"/>
          </w:tcPr>
          <w:p w14:paraId="261B6F19" w14:textId="77777777" w:rsidR="004B4253" w:rsidRPr="00D8007B" w:rsidRDefault="00AD00A4" w:rsidP="005407FA">
            <w:pPr>
              <w:spacing w:before="0"/>
              <w:ind w:left="84"/>
              <w:rPr>
                <w:rFonts w:cs="Calibri"/>
                <w:sz w:val="18"/>
                <w:szCs w:val="18"/>
              </w:rPr>
            </w:pPr>
            <w:r w:rsidRPr="00D8007B">
              <w:rPr>
                <w:rFonts w:cs="Calibri"/>
                <w:sz w:val="18"/>
                <w:szCs w:val="18"/>
                <w:lang w:val="en-NZ"/>
              </w:rPr>
              <w:t xml:space="preserve">  HKEX  </w:t>
            </w:r>
            <w:hyperlink r:id="rId10" w:history="1">
              <w:r w:rsidRPr="00D8007B">
                <w:rPr>
                  <w:rStyle w:val="Hyperlink"/>
                  <w:rFonts w:cs="Calibri"/>
                  <w:color w:val="0070C0"/>
                  <w:sz w:val="18"/>
                  <w:szCs w:val="18"/>
                  <w:lang w:val="en-NZ"/>
                </w:rPr>
                <w:t>https://www.hkex.com.hk/-/media/HKEX-Market/News/News-Release/2025/250716news/HKEX-Accelerated-Settlement-Paper-2025-v10-EN-(cover).pdf</w:t>
              </w:r>
            </w:hyperlink>
          </w:p>
          <w:p w14:paraId="79AB65E4" w14:textId="68A6C120" w:rsidR="006C773A" w:rsidRPr="00D8007B" w:rsidRDefault="00D8007B" w:rsidP="00A04E58">
            <w:pPr>
              <w:spacing w:before="0"/>
              <w:ind w:left="84"/>
              <w:rPr>
                <w:rFonts w:cs="Calibri"/>
                <w:sz w:val="18"/>
                <w:szCs w:val="18"/>
              </w:rPr>
            </w:pPr>
            <w:r w:rsidRPr="00D8007B">
              <w:rPr>
                <w:rFonts w:cs="Calibri"/>
                <w:sz w:val="18"/>
                <w:szCs w:val="18"/>
              </w:rPr>
              <w:t>HKEX</w:t>
            </w:r>
            <w:r w:rsidR="006C773A">
              <w:rPr>
                <w:rFonts w:cs="Calibri"/>
                <w:sz w:val="18"/>
                <w:szCs w:val="18"/>
              </w:rPr>
              <w:t xml:space="preserve"> comms: </w:t>
            </w:r>
            <w:hyperlink r:id="rId11" w:tooltip="https://www.hkex.com.hk/News/Market-Communications/2026/260417news?sc_lang=en" w:history="1">
              <w:r w:rsidRPr="00D8007B">
                <w:rPr>
                  <w:rStyle w:val="Hyperlink"/>
                  <w:rFonts w:cs="Calibri"/>
                  <w:sz w:val="18"/>
                  <w:szCs w:val="18"/>
                </w:rPr>
                <w:t>https://www.hkex.com.hk/News/Market-Communications/2026/260417news?sc_lang=en</w:t>
              </w:r>
            </w:hyperlink>
            <w:r w:rsidRPr="00D8007B">
              <w:rPr>
                <w:rFonts w:cs="Calibri"/>
                <w:sz w:val="18"/>
                <w:szCs w:val="18"/>
              </w:rPr>
              <w:t> </w:t>
            </w:r>
          </w:p>
        </w:tc>
        <w:tc>
          <w:tcPr>
            <w:tcW w:w="7081" w:type="dxa"/>
            <w:vAlign w:val="top"/>
          </w:tcPr>
          <w:p w14:paraId="514843AF" w14:textId="77777777" w:rsidR="00AD00A4" w:rsidRDefault="005407FA" w:rsidP="009D2427">
            <w:pPr>
              <w:spacing w:line="264" w:lineRule="auto"/>
              <w:ind w:right="537"/>
              <w:rPr>
                <w:sz w:val="18"/>
                <w:szCs w:val="18"/>
                <w:lang w:val="en-NZ"/>
              </w:rPr>
            </w:pPr>
            <w:r>
              <w:rPr>
                <w:sz w:val="18"/>
                <w:szCs w:val="18"/>
                <w:lang w:val="en-NZ"/>
              </w:rPr>
              <w:t>Discussion paper &amp; i</w:t>
            </w:r>
            <w:r w:rsidR="00AD00A4" w:rsidRPr="00C55371">
              <w:rPr>
                <w:sz w:val="18"/>
                <w:szCs w:val="18"/>
                <w:lang w:val="en-NZ"/>
              </w:rPr>
              <w:t>nvitation for feedback</w:t>
            </w:r>
            <w:r>
              <w:rPr>
                <w:sz w:val="18"/>
                <w:szCs w:val="18"/>
                <w:lang w:val="en-NZ"/>
              </w:rPr>
              <w:t xml:space="preserve"> (July 2025)</w:t>
            </w:r>
          </w:p>
          <w:p w14:paraId="6BAAC951" w14:textId="77777777" w:rsidR="00D8007B" w:rsidRDefault="00D8007B" w:rsidP="009D2427">
            <w:pPr>
              <w:spacing w:line="264" w:lineRule="auto"/>
              <w:ind w:right="537"/>
              <w:rPr>
                <w:sz w:val="18"/>
                <w:szCs w:val="18"/>
                <w:lang w:val="en-NZ"/>
              </w:rPr>
            </w:pPr>
          </w:p>
          <w:p w14:paraId="444EC1BC" w14:textId="4A1A1040" w:rsidR="00D8007B" w:rsidRDefault="00D8007B" w:rsidP="009D2427">
            <w:pPr>
              <w:spacing w:line="264" w:lineRule="auto"/>
              <w:ind w:right="537"/>
              <w:rPr>
                <w:sz w:val="18"/>
                <w:szCs w:val="18"/>
                <w:lang w:val="en-NZ"/>
              </w:rPr>
            </w:pPr>
            <w:r>
              <w:rPr>
                <w:sz w:val="18"/>
                <w:szCs w:val="18"/>
                <w:lang w:val="en-NZ"/>
              </w:rPr>
              <w:t>Discussion paper &amp; i</w:t>
            </w:r>
            <w:r w:rsidRPr="00C55371">
              <w:rPr>
                <w:sz w:val="18"/>
                <w:szCs w:val="18"/>
                <w:lang w:val="en-NZ"/>
              </w:rPr>
              <w:t>nvitation for feedback</w:t>
            </w:r>
            <w:r>
              <w:rPr>
                <w:sz w:val="18"/>
                <w:szCs w:val="18"/>
                <w:lang w:val="en-NZ"/>
              </w:rPr>
              <w:t xml:space="preserve"> (April 2026) – feedback </w:t>
            </w:r>
            <w:r w:rsidR="00C4172F">
              <w:rPr>
                <w:sz w:val="18"/>
                <w:szCs w:val="18"/>
                <w:lang w:val="en-NZ"/>
              </w:rPr>
              <w:t>closed 1</w:t>
            </w:r>
            <w:r>
              <w:rPr>
                <w:sz w:val="18"/>
                <w:szCs w:val="18"/>
                <w:lang w:val="en-NZ"/>
              </w:rPr>
              <w:t>8 May</w:t>
            </w:r>
            <w:r w:rsidR="00C4172F">
              <w:rPr>
                <w:sz w:val="18"/>
                <w:szCs w:val="18"/>
                <w:lang w:val="en-NZ"/>
              </w:rPr>
              <w:t xml:space="preserve"> 2026</w:t>
            </w:r>
          </w:p>
          <w:p w14:paraId="3F70E64C" w14:textId="3243FF52" w:rsidR="00D8007B" w:rsidRPr="000F039C" w:rsidRDefault="00C4172F" w:rsidP="009D2427">
            <w:pPr>
              <w:spacing w:line="264" w:lineRule="auto"/>
              <w:ind w:right="537"/>
              <w:rPr>
                <w:i/>
                <w:iCs/>
                <w:sz w:val="18"/>
                <w:szCs w:val="18"/>
                <w:lang w:val="en-NZ"/>
              </w:rPr>
            </w:pPr>
            <w:r w:rsidRPr="000F039C">
              <w:rPr>
                <w:i/>
                <w:iCs/>
                <w:sz w:val="18"/>
                <w:szCs w:val="18"/>
                <w:lang w:val="en-NZ"/>
              </w:rPr>
              <w:t>14/7/2</w:t>
            </w:r>
            <w:r w:rsidR="000F039C" w:rsidRPr="000F039C">
              <w:rPr>
                <w:i/>
                <w:iCs/>
                <w:sz w:val="18"/>
                <w:szCs w:val="18"/>
                <w:lang w:val="en-NZ"/>
              </w:rPr>
              <w:t>6 – Per HKEX WG comments, market consultation ongoing</w:t>
            </w:r>
          </w:p>
        </w:tc>
      </w:tr>
      <w:tr w:rsidR="00F95F25" w:rsidRPr="00C55371" w14:paraId="60A959B9" w14:textId="77777777" w:rsidTr="00A04E58">
        <w:tc>
          <w:tcPr>
            <w:tcW w:w="1459" w:type="dxa"/>
            <w:vAlign w:val="top"/>
          </w:tcPr>
          <w:p w14:paraId="655F7C3F" w14:textId="77777777" w:rsidR="00F95F25" w:rsidRPr="00C55371" w:rsidRDefault="00F95F25" w:rsidP="00844BED">
            <w:pPr>
              <w:spacing w:line="264" w:lineRule="auto"/>
              <w:ind w:right="537"/>
              <w:rPr>
                <w:sz w:val="18"/>
                <w:szCs w:val="18"/>
                <w:lang w:val="en-NZ"/>
              </w:rPr>
            </w:pPr>
            <w:r>
              <w:rPr>
                <w:sz w:val="18"/>
                <w:szCs w:val="18"/>
                <w:lang w:val="en-NZ"/>
              </w:rPr>
              <w:lastRenderedPageBreak/>
              <w:t>India</w:t>
            </w:r>
          </w:p>
        </w:tc>
        <w:tc>
          <w:tcPr>
            <w:tcW w:w="5914" w:type="dxa"/>
            <w:vAlign w:val="top"/>
          </w:tcPr>
          <w:p w14:paraId="1B2E7453" w14:textId="77777777" w:rsidR="00F95F25" w:rsidRPr="00C55371" w:rsidRDefault="00F95F25" w:rsidP="00844BED">
            <w:pPr>
              <w:spacing w:line="264" w:lineRule="auto"/>
              <w:ind w:right="537"/>
              <w:rPr>
                <w:sz w:val="18"/>
                <w:szCs w:val="18"/>
                <w:lang w:val="en-NZ"/>
              </w:rPr>
            </w:pPr>
            <w:r>
              <w:rPr>
                <w:sz w:val="18"/>
                <w:szCs w:val="18"/>
                <w:lang w:val="en-NZ"/>
              </w:rPr>
              <w:t>Thomas Murray T+1 2026 Overview</w:t>
            </w:r>
          </w:p>
        </w:tc>
        <w:tc>
          <w:tcPr>
            <w:tcW w:w="7081" w:type="dxa"/>
            <w:vAlign w:val="top"/>
          </w:tcPr>
          <w:p w14:paraId="60315C28" w14:textId="6734321C" w:rsidR="00F95F25" w:rsidRPr="00C55371" w:rsidRDefault="00F95F25" w:rsidP="00844BED">
            <w:pPr>
              <w:spacing w:line="264" w:lineRule="auto"/>
              <w:ind w:right="537"/>
              <w:rPr>
                <w:sz w:val="18"/>
                <w:szCs w:val="18"/>
                <w:lang w:val="en-NZ"/>
              </w:rPr>
            </w:pPr>
            <w:r>
              <w:rPr>
                <w:sz w:val="18"/>
                <w:szCs w:val="18"/>
                <w:lang w:val="en-NZ"/>
              </w:rPr>
              <w:t xml:space="preserve">Existing </w:t>
            </w:r>
            <w:r w:rsidR="00516F1E">
              <w:rPr>
                <w:sz w:val="18"/>
                <w:szCs w:val="18"/>
                <w:lang w:val="en-NZ"/>
              </w:rPr>
              <w:t>(</w:t>
            </w:r>
            <w:r w:rsidR="00516F1E" w:rsidRPr="00516F1E">
              <w:rPr>
                <w:i/>
                <w:iCs/>
                <w:sz w:val="18"/>
                <w:szCs w:val="18"/>
                <w:lang w:val="en-NZ"/>
              </w:rPr>
              <w:t>voluntary</w:t>
            </w:r>
            <w:r w:rsidR="00516F1E">
              <w:rPr>
                <w:sz w:val="18"/>
                <w:szCs w:val="18"/>
                <w:lang w:val="en-NZ"/>
              </w:rPr>
              <w:t xml:space="preserve">) </w:t>
            </w:r>
            <w:r>
              <w:rPr>
                <w:sz w:val="18"/>
                <w:szCs w:val="18"/>
                <w:lang w:val="en-NZ"/>
              </w:rPr>
              <w:t xml:space="preserve">T0 settlement cycle sits alongside T+1  </w:t>
            </w:r>
          </w:p>
        </w:tc>
      </w:tr>
      <w:tr w:rsidR="008E534F" w:rsidRPr="00C55371" w14:paraId="1B4CC151" w14:textId="77777777" w:rsidTr="00A04E58">
        <w:tc>
          <w:tcPr>
            <w:tcW w:w="1459" w:type="dxa"/>
            <w:vAlign w:val="top"/>
          </w:tcPr>
          <w:p w14:paraId="4EA97AE0" w14:textId="30972BED" w:rsidR="008E534F" w:rsidRDefault="008E534F" w:rsidP="00844BED">
            <w:pPr>
              <w:spacing w:line="264" w:lineRule="auto"/>
              <w:ind w:right="537"/>
              <w:rPr>
                <w:sz w:val="18"/>
                <w:szCs w:val="18"/>
                <w:lang w:val="en-NZ"/>
              </w:rPr>
            </w:pPr>
            <w:r>
              <w:rPr>
                <w:sz w:val="18"/>
                <w:szCs w:val="18"/>
                <w:lang w:val="en-NZ"/>
              </w:rPr>
              <w:t>Japan</w:t>
            </w:r>
          </w:p>
        </w:tc>
        <w:tc>
          <w:tcPr>
            <w:tcW w:w="5914" w:type="dxa"/>
            <w:vAlign w:val="top"/>
          </w:tcPr>
          <w:p w14:paraId="1AFCB753" w14:textId="77777777" w:rsidR="008E534F" w:rsidRDefault="00B25AAE" w:rsidP="00844BED">
            <w:pPr>
              <w:spacing w:line="264" w:lineRule="auto"/>
              <w:ind w:right="537"/>
              <w:rPr>
                <w:sz w:val="18"/>
                <w:szCs w:val="18"/>
              </w:rPr>
            </w:pPr>
            <w:r w:rsidRPr="00B25AAE">
              <w:rPr>
                <w:sz w:val="18"/>
                <w:szCs w:val="18"/>
              </w:rPr>
              <w:t>Japan's financial markets are evaluating a potential transition from a T+2 to a T+1 settlement cycle for equities. The Japan Financial Services Agency (JFSA) and industry bodies are conducting informal consultations and studies to assess global impacts, infrastructure readiness, and the costs associated with an accelerated settlement window</w:t>
            </w:r>
            <w:r>
              <w:rPr>
                <w:sz w:val="18"/>
                <w:szCs w:val="18"/>
              </w:rPr>
              <w:t>.</w:t>
            </w:r>
          </w:p>
          <w:p w14:paraId="56DBCCCC" w14:textId="6A256C65" w:rsidR="00614720" w:rsidRDefault="00614720" w:rsidP="00272D89">
            <w:pPr>
              <w:spacing w:line="264" w:lineRule="auto"/>
              <w:ind w:right="537"/>
              <w:rPr>
                <w:sz w:val="18"/>
                <w:szCs w:val="18"/>
                <w:lang w:val="en-NZ"/>
              </w:rPr>
            </w:pPr>
            <w:hyperlink r:id="rId12" w:history="1">
              <w:r w:rsidRPr="0048319B">
                <w:rPr>
                  <w:rStyle w:val="Hyperlink"/>
                  <w:sz w:val="18"/>
                  <w:szCs w:val="18"/>
                  <w:lang w:val="en-NZ"/>
                </w:rPr>
                <w:t>https://www.broadridge.com/resource/capital-markets/t-plus-1-in-japan-forging-a-new-industry-model</w:t>
              </w:r>
            </w:hyperlink>
          </w:p>
        </w:tc>
        <w:tc>
          <w:tcPr>
            <w:tcW w:w="7081" w:type="dxa"/>
            <w:vAlign w:val="top"/>
          </w:tcPr>
          <w:p w14:paraId="5054B66A" w14:textId="77777777" w:rsidR="00767765" w:rsidRPr="005F7924" w:rsidRDefault="00767765" w:rsidP="00767765">
            <w:pPr>
              <w:spacing w:line="264" w:lineRule="auto"/>
              <w:ind w:left="131" w:right="537"/>
              <w:rPr>
                <w:sz w:val="18"/>
                <w:szCs w:val="18"/>
                <w:lang w:val="en-NZ"/>
              </w:rPr>
            </w:pPr>
            <w:r w:rsidRPr="005F7924">
              <w:rPr>
                <w:sz w:val="18"/>
                <w:szCs w:val="18"/>
                <w:lang w:val="en-NZ"/>
              </w:rPr>
              <w:t>Japan: The FSA is monitoring global T+1 trends, especially in Hong Kong, Singapore, and Australia.</w:t>
            </w:r>
          </w:p>
          <w:p w14:paraId="494C9DC1" w14:textId="07291353" w:rsidR="008E534F" w:rsidRPr="00DA3092" w:rsidRDefault="00DA3092" w:rsidP="00844BED">
            <w:pPr>
              <w:spacing w:line="264" w:lineRule="auto"/>
              <w:ind w:right="537"/>
              <w:rPr>
                <w:i/>
                <w:iCs/>
                <w:sz w:val="18"/>
                <w:szCs w:val="18"/>
                <w:lang w:val="en-NZ"/>
              </w:rPr>
            </w:pPr>
            <w:r w:rsidRPr="00DA3092">
              <w:rPr>
                <w:i/>
                <w:iCs/>
                <w:sz w:val="18"/>
                <w:szCs w:val="18"/>
                <w:lang w:val="en-NZ"/>
              </w:rPr>
              <w:t>14/7/26: Informal discussions ongoing</w:t>
            </w:r>
          </w:p>
        </w:tc>
      </w:tr>
      <w:tr w:rsidR="008E534F" w:rsidRPr="00C55371" w14:paraId="01CD71D1" w14:textId="77777777" w:rsidTr="00A04E58">
        <w:tc>
          <w:tcPr>
            <w:tcW w:w="1459" w:type="dxa"/>
            <w:vAlign w:val="top"/>
          </w:tcPr>
          <w:p w14:paraId="2C005506" w14:textId="29A71AE4" w:rsidR="008E534F" w:rsidRDefault="008E534F" w:rsidP="00844BED">
            <w:pPr>
              <w:spacing w:line="264" w:lineRule="auto"/>
              <w:ind w:right="537"/>
              <w:rPr>
                <w:sz w:val="18"/>
                <w:szCs w:val="18"/>
                <w:lang w:val="en-NZ"/>
              </w:rPr>
            </w:pPr>
            <w:r>
              <w:rPr>
                <w:sz w:val="18"/>
                <w:szCs w:val="18"/>
                <w:lang w:val="en-NZ"/>
              </w:rPr>
              <w:t>Indonesia</w:t>
            </w:r>
          </w:p>
        </w:tc>
        <w:tc>
          <w:tcPr>
            <w:tcW w:w="5914" w:type="dxa"/>
            <w:vAlign w:val="top"/>
          </w:tcPr>
          <w:p w14:paraId="23CA981B" w14:textId="77777777" w:rsidR="008E534F" w:rsidRDefault="008E534F" w:rsidP="00844BED">
            <w:pPr>
              <w:spacing w:line="264" w:lineRule="auto"/>
              <w:ind w:right="537"/>
              <w:rPr>
                <w:sz w:val="18"/>
                <w:szCs w:val="18"/>
                <w:lang w:val="en-NZ"/>
              </w:rPr>
            </w:pPr>
          </w:p>
        </w:tc>
        <w:tc>
          <w:tcPr>
            <w:tcW w:w="7081" w:type="dxa"/>
            <w:vAlign w:val="top"/>
          </w:tcPr>
          <w:p w14:paraId="2E39FDE1" w14:textId="14BF6CAD" w:rsidR="008E534F" w:rsidRDefault="008E534F" w:rsidP="00844BED">
            <w:pPr>
              <w:spacing w:line="264" w:lineRule="auto"/>
              <w:ind w:right="537"/>
              <w:rPr>
                <w:sz w:val="18"/>
                <w:szCs w:val="18"/>
                <w:lang w:val="en-NZ"/>
              </w:rPr>
            </w:pPr>
            <w:r w:rsidRPr="008E534F">
              <w:rPr>
                <w:i/>
                <w:iCs/>
                <w:sz w:val="18"/>
                <w:szCs w:val="18"/>
                <w:lang w:val="en-NZ"/>
              </w:rPr>
              <w:t>No immediate plans</w:t>
            </w:r>
          </w:p>
        </w:tc>
      </w:tr>
      <w:tr w:rsidR="000F09A3" w:rsidRPr="00C55371" w14:paraId="192D7FC7" w14:textId="77777777" w:rsidTr="00A04E58">
        <w:tc>
          <w:tcPr>
            <w:tcW w:w="1459" w:type="dxa"/>
            <w:vAlign w:val="top"/>
          </w:tcPr>
          <w:p w14:paraId="674B5CDB" w14:textId="58BC6153" w:rsidR="000F09A3" w:rsidRDefault="000F09A3" w:rsidP="00844BED">
            <w:pPr>
              <w:spacing w:line="264" w:lineRule="auto"/>
              <w:ind w:right="537"/>
              <w:rPr>
                <w:sz w:val="18"/>
                <w:szCs w:val="18"/>
                <w:lang w:val="en-NZ"/>
              </w:rPr>
            </w:pPr>
            <w:r>
              <w:rPr>
                <w:sz w:val="18"/>
                <w:szCs w:val="18"/>
                <w:lang w:val="en-NZ"/>
              </w:rPr>
              <w:t>Malaysia</w:t>
            </w:r>
          </w:p>
        </w:tc>
        <w:tc>
          <w:tcPr>
            <w:tcW w:w="5914" w:type="dxa"/>
            <w:vAlign w:val="top"/>
          </w:tcPr>
          <w:p w14:paraId="513618E5" w14:textId="0BC136FA" w:rsidR="000F09A3" w:rsidRDefault="008E534F" w:rsidP="00844BED">
            <w:pPr>
              <w:spacing w:line="264" w:lineRule="auto"/>
              <w:ind w:right="537"/>
              <w:rPr>
                <w:sz w:val="18"/>
                <w:szCs w:val="18"/>
                <w:lang w:val="en-NZ"/>
              </w:rPr>
            </w:pPr>
            <w:r>
              <w:rPr>
                <w:sz w:val="18"/>
                <w:szCs w:val="18"/>
                <w:lang w:val="en-NZ"/>
              </w:rPr>
              <w:t>Industry WG in existence</w:t>
            </w:r>
          </w:p>
        </w:tc>
        <w:tc>
          <w:tcPr>
            <w:tcW w:w="7081" w:type="dxa"/>
            <w:vAlign w:val="top"/>
          </w:tcPr>
          <w:p w14:paraId="2365F324" w14:textId="1398923D" w:rsidR="000F09A3" w:rsidRPr="008E534F" w:rsidRDefault="008E6757" w:rsidP="00844BED">
            <w:pPr>
              <w:spacing w:line="264" w:lineRule="auto"/>
              <w:ind w:right="537"/>
              <w:rPr>
                <w:i/>
                <w:iCs/>
                <w:sz w:val="18"/>
                <w:szCs w:val="18"/>
                <w:lang w:val="en-NZ"/>
              </w:rPr>
            </w:pPr>
            <w:r w:rsidRPr="005F7924">
              <w:rPr>
                <w:sz w:val="18"/>
                <w:szCs w:val="18"/>
                <w:lang w:val="en-NZ"/>
              </w:rPr>
              <w:t>Bursa Malaysia has launched an industry working group for feedback.</w:t>
            </w:r>
          </w:p>
        </w:tc>
      </w:tr>
      <w:tr w:rsidR="001D78B2" w:rsidRPr="00C55371" w14:paraId="37EC7F7A" w14:textId="77777777" w:rsidTr="00A04E58">
        <w:tc>
          <w:tcPr>
            <w:tcW w:w="1459" w:type="dxa"/>
            <w:vAlign w:val="top"/>
          </w:tcPr>
          <w:p w14:paraId="6EF8BFC8" w14:textId="79D1EB81" w:rsidR="001D78B2" w:rsidRDefault="001D78B2" w:rsidP="00844BED">
            <w:pPr>
              <w:spacing w:line="264" w:lineRule="auto"/>
              <w:ind w:right="537"/>
              <w:rPr>
                <w:sz w:val="18"/>
                <w:szCs w:val="18"/>
                <w:lang w:val="en-NZ"/>
              </w:rPr>
            </w:pPr>
            <w:r>
              <w:rPr>
                <w:sz w:val="18"/>
                <w:szCs w:val="18"/>
                <w:lang w:val="en-NZ"/>
              </w:rPr>
              <w:t>New Zealand</w:t>
            </w:r>
          </w:p>
        </w:tc>
        <w:tc>
          <w:tcPr>
            <w:tcW w:w="5914" w:type="dxa"/>
            <w:vAlign w:val="top"/>
          </w:tcPr>
          <w:p w14:paraId="57E25710" w14:textId="77777777" w:rsidR="001D78B2" w:rsidRDefault="001D78B2" w:rsidP="00844BED">
            <w:pPr>
              <w:spacing w:line="264" w:lineRule="auto"/>
              <w:ind w:right="537"/>
              <w:rPr>
                <w:sz w:val="18"/>
                <w:szCs w:val="18"/>
                <w:lang w:val="en-NZ"/>
              </w:rPr>
            </w:pPr>
          </w:p>
        </w:tc>
        <w:tc>
          <w:tcPr>
            <w:tcW w:w="7081" w:type="dxa"/>
            <w:vAlign w:val="top"/>
          </w:tcPr>
          <w:p w14:paraId="2132E0F3" w14:textId="02B346A4" w:rsidR="001D78B2" w:rsidRPr="00AE43AF" w:rsidRDefault="00AE43AF" w:rsidP="00844BED">
            <w:pPr>
              <w:spacing w:line="264" w:lineRule="auto"/>
              <w:ind w:right="537"/>
              <w:rPr>
                <w:sz w:val="18"/>
                <w:szCs w:val="18"/>
                <w:lang w:val="en-NZ"/>
              </w:rPr>
            </w:pPr>
            <w:r w:rsidRPr="00AE43AF">
              <w:rPr>
                <w:sz w:val="18"/>
                <w:szCs w:val="18"/>
                <w:lang w:val="en-NZ"/>
              </w:rPr>
              <w:t>Widely expected to follow Australia’s lead</w:t>
            </w:r>
          </w:p>
        </w:tc>
      </w:tr>
      <w:tr w:rsidR="00F95F25" w:rsidRPr="00C55371" w14:paraId="59B0814A" w14:textId="77777777" w:rsidTr="00A04E58">
        <w:tc>
          <w:tcPr>
            <w:tcW w:w="1459" w:type="dxa"/>
            <w:vAlign w:val="top"/>
          </w:tcPr>
          <w:p w14:paraId="5BE3FD53" w14:textId="77777777" w:rsidR="00F95F25" w:rsidRDefault="00F95F25" w:rsidP="00844BED">
            <w:pPr>
              <w:spacing w:line="264" w:lineRule="auto"/>
              <w:ind w:right="537"/>
              <w:rPr>
                <w:sz w:val="18"/>
                <w:szCs w:val="18"/>
                <w:lang w:val="en-NZ"/>
              </w:rPr>
            </w:pPr>
            <w:r>
              <w:rPr>
                <w:sz w:val="18"/>
                <w:szCs w:val="18"/>
                <w:lang w:val="en-NZ"/>
              </w:rPr>
              <w:t>Pakistan</w:t>
            </w:r>
          </w:p>
        </w:tc>
        <w:tc>
          <w:tcPr>
            <w:tcW w:w="5914" w:type="dxa"/>
            <w:vAlign w:val="top"/>
          </w:tcPr>
          <w:p w14:paraId="547A414D" w14:textId="77777777" w:rsidR="00F95F25" w:rsidRDefault="00F95F25" w:rsidP="00844BED">
            <w:pPr>
              <w:spacing w:line="264" w:lineRule="auto"/>
              <w:ind w:right="537"/>
            </w:pPr>
            <w:hyperlink r:id="rId13" w:history="1">
              <w:r w:rsidRPr="008E0D56">
                <w:rPr>
                  <w:rStyle w:val="Hyperlink"/>
                  <w:sz w:val="18"/>
                  <w:szCs w:val="18"/>
                  <w:lang w:val="en-NZ"/>
                </w:rPr>
                <w:t>https://www.nccpl.com.pk/transition-to-t1-settlement-cycle</w:t>
              </w:r>
            </w:hyperlink>
          </w:p>
          <w:p w14:paraId="7128133E" w14:textId="1C6E7501" w:rsidR="00F95F25" w:rsidRDefault="00404B14" w:rsidP="008E534F">
            <w:pPr>
              <w:spacing w:line="264" w:lineRule="auto"/>
              <w:ind w:right="537"/>
              <w:rPr>
                <w:sz w:val="18"/>
                <w:szCs w:val="18"/>
                <w:lang w:val="en-NZ"/>
              </w:rPr>
            </w:pPr>
            <w:hyperlink r:id="rId14" w:history="1">
              <w:r w:rsidRPr="0048319B">
                <w:rPr>
                  <w:rStyle w:val="Hyperlink"/>
                  <w:sz w:val="18"/>
                  <w:szCs w:val="18"/>
                  <w:lang w:val="en-NZ"/>
                </w:rPr>
                <w:t>https://www.psx.com.pk/psx/files/?file=269989-1.pdf</w:t>
              </w:r>
            </w:hyperlink>
          </w:p>
        </w:tc>
        <w:tc>
          <w:tcPr>
            <w:tcW w:w="7081" w:type="dxa"/>
            <w:vAlign w:val="top"/>
          </w:tcPr>
          <w:p w14:paraId="29771D6C" w14:textId="77777777" w:rsidR="00F95F25" w:rsidRDefault="00F95F25" w:rsidP="00844BED">
            <w:pPr>
              <w:spacing w:line="264" w:lineRule="auto"/>
              <w:ind w:left="131" w:right="537"/>
              <w:rPr>
                <w:sz w:val="18"/>
                <w:szCs w:val="18"/>
                <w:lang w:val="en-NZ"/>
              </w:rPr>
            </w:pPr>
            <w:r>
              <w:rPr>
                <w:sz w:val="18"/>
                <w:szCs w:val="18"/>
              </w:rPr>
              <w:t>T</w:t>
            </w:r>
            <w:r w:rsidRPr="004B4253">
              <w:rPr>
                <w:sz w:val="18"/>
                <w:szCs w:val="18"/>
              </w:rPr>
              <w:t xml:space="preserve">ransition of the settlement cycle from T+2 to T+1 successfully implemented on </w:t>
            </w:r>
            <w:r>
              <w:rPr>
                <w:sz w:val="18"/>
                <w:szCs w:val="18"/>
              </w:rPr>
              <w:t xml:space="preserve">09 Feb </w:t>
            </w:r>
            <w:r w:rsidRPr="004B4253">
              <w:rPr>
                <w:sz w:val="18"/>
                <w:szCs w:val="18"/>
              </w:rPr>
              <w:t>2026.</w:t>
            </w:r>
          </w:p>
        </w:tc>
      </w:tr>
      <w:tr w:rsidR="008E534F" w:rsidRPr="00C55371" w14:paraId="1BA18ADF" w14:textId="77777777" w:rsidTr="00A04E58">
        <w:tc>
          <w:tcPr>
            <w:tcW w:w="1459" w:type="dxa"/>
            <w:vAlign w:val="top"/>
          </w:tcPr>
          <w:p w14:paraId="3E58D448" w14:textId="435EBEAA" w:rsidR="008E534F" w:rsidRDefault="008E534F" w:rsidP="00844BED">
            <w:pPr>
              <w:spacing w:line="264" w:lineRule="auto"/>
              <w:ind w:right="537"/>
              <w:rPr>
                <w:sz w:val="18"/>
                <w:szCs w:val="18"/>
                <w:lang w:val="en-NZ"/>
              </w:rPr>
            </w:pPr>
            <w:r>
              <w:rPr>
                <w:sz w:val="18"/>
                <w:szCs w:val="18"/>
                <w:lang w:val="en-NZ"/>
              </w:rPr>
              <w:t>Philippines</w:t>
            </w:r>
          </w:p>
        </w:tc>
        <w:tc>
          <w:tcPr>
            <w:tcW w:w="5914" w:type="dxa"/>
            <w:vAlign w:val="top"/>
          </w:tcPr>
          <w:p w14:paraId="70D4A824" w14:textId="77777777" w:rsidR="008E534F" w:rsidRDefault="008E534F" w:rsidP="00844BED">
            <w:pPr>
              <w:spacing w:line="264" w:lineRule="auto"/>
              <w:ind w:right="537"/>
            </w:pPr>
          </w:p>
        </w:tc>
        <w:tc>
          <w:tcPr>
            <w:tcW w:w="7081" w:type="dxa"/>
            <w:vAlign w:val="top"/>
          </w:tcPr>
          <w:p w14:paraId="2943730D" w14:textId="0ACEFCBE" w:rsidR="008E534F" w:rsidRPr="008E0563" w:rsidRDefault="008E534F" w:rsidP="00844BED">
            <w:pPr>
              <w:spacing w:line="264" w:lineRule="auto"/>
              <w:ind w:left="131" w:right="537"/>
              <w:rPr>
                <w:i/>
                <w:iCs/>
                <w:sz w:val="18"/>
                <w:szCs w:val="18"/>
              </w:rPr>
            </w:pPr>
            <w:r w:rsidRPr="008E534F">
              <w:rPr>
                <w:i/>
                <w:iCs/>
                <w:sz w:val="18"/>
                <w:szCs w:val="18"/>
                <w:lang w:val="en-NZ"/>
              </w:rPr>
              <w:t>No immediate plans</w:t>
            </w:r>
          </w:p>
        </w:tc>
      </w:tr>
      <w:tr w:rsidR="00202911" w:rsidRPr="00C55371" w14:paraId="13BF5651" w14:textId="77777777" w:rsidTr="00A04E58">
        <w:tc>
          <w:tcPr>
            <w:tcW w:w="1459" w:type="dxa"/>
            <w:vAlign w:val="top"/>
          </w:tcPr>
          <w:p w14:paraId="5C128885" w14:textId="28E54AC9" w:rsidR="00202911" w:rsidRDefault="00202911" w:rsidP="00844BED">
            <w:pPr>
              <w:spacing w:line="264" w:lineRule="auto"/>
              <w:ind w:right="537"/>
              <w:rPr>
                <w:sz w:val="18"/>
                <w:szCs w:val="18"/>
                <w:lang w:val="en-NZ"/>
              </w:rPr>
            </w:pPr>
            <w:r>
              <w:rPr>
                <w:sz w:val="18"/>
                <w:szCs w:val="18"/>
                <w:lang w:val="en-NZ"/>
              </w:rPr>
              <w:t>Singapore</w:t>
            </w:r>
          </w:p>
        </w:tc>
        <w:tc>
          <w:tcPr>
            <w:tcW w:w="5914" w:type="dxa"/>
            <w:vAlign w:val="top"/>
          </w:tcPr>
          <w:p w14:paraId="4E0C3181" w14:textId="77777777" w:rsidR="00202911" w:rsidRDefault="00202911" w:rsidP="00844BED">
            <w:pPr>
              <w:spacing w:line="264" w:lineRule="auto"/>
              <w:ind w:right="537"/>
            </w:pPr>
          </w:p>
        </w:tc>
        <w:tc>
          <w:tcPr>
            <w:tcW w:w="7081" w:type="dxa"/>
            <w:vAlign w:val="top"/>
          </w:tcPr>
          <w:p w14:paraId="44D3FDE0" w14:textId="5E52D2CA" w:rsidR="00202911" w:rsidRPr="008E534F" w:rsidRDefault="00925C01" w:rsidP="00844BED">
            <w:pPr>
              <w:spacing w:line="264" w:lineRule="auto"/>
              <w:ind w:left="131" w:right="537"/>
              <w:rPr>
                <w:i/>
                <w:iCs/>
                <w:sz w:val="18"/>
                <w:szCs w:val="18"/>
                <w:lang w:val="en-NZ"/>
              </w:rPr>
            </w:pPr>
            <w:r>
              <w:rPr>
                <w:i/>
                <w:iCs/>
                <w:sz w:val="18"/>
                <w:szCs w:val="18"/>
                <w:lang w:val="en-NZ"/>
              </w:rPr>
              <w:t xml:space="preserve">14/7/26: </w:t>
            </w:r>
            <w:r w:rsidRPr="00925C01">
              <w:rPr>
                <w:i/>
                <w:iCs/>
                <w:sz w:val="18"/>
                <w:szCs w:val="18"/>
              </w:rPr>
              <w:t>Singapore remains in the exploratory and consultation stages with no confirmed timeline for a shift</w:t>
            </w:r>
          </w:p>
        </w:tc>
      </w:tr>
      <w:tr w:rsidR="00A04E58" w:rsidRPr="00C55371" w14:paraId="6B32001F" w14:textId="77777777" w:rsidTr="00A04E58">
        <w:tc>
          <w:tcPr>
            <w:tcW w:w="1459" w:type="dxa"/>
            <w:vAlign w:val="top"/>
          </w:tcPr>
          <w:p w14:paraId="32B3659E" w14:textId="417D8BF7" w:rsidR="00A04E58" w:rsidRDefault="00A04E58" w:rsidP="00844BED">
            <w:pPr>
              <w:spacing w:line="264" w:lineRule="auto"/>
              <w:ind w:right="537"/>
              <w:rPr>
                <w:sz w:val="18"/>
                <w:szCs w:val="18"/>
                <w:lang w:val="en-NZ"/>
              </w:rPr>
            </w:pPr>
            <w:r>
              <w:rPr>
                <w:sz w:val="18"/>
                <w:szCs w:val="18"/>
                <w:lang w:val="en-NZ"/>
              </w:rPr>
              <w:t>South Korea</w:t>
            </w:r>
          </w:p>
        </w:tc>
        <w:tc>
          <w:tcPr>
            <w:tcW w:w="5914" w:type="dxa"/>
            <w:vAlign w:val="top"/>
          </w:tcPr>
          <w:p w14:paraId="2165A750" w14:textId="77777777" w:rsidR="00A04E58" w:rsidRDefault="00615C9C" w:rsidP="00844BED">
            <w:pPr>
              <w:spacing w:line="264" w:lineRule="auto"/>
              <w:ind w:right="537"/>
              <w:rPr>
                <w:sz w:val="18"/>
                <w:szCs w:val="18"/>
              </w:rPr>
            </w:pPr>
            <w:r w:rsidRPr="00615C9C">
              <w:rPr>
                <w:sz w:val="18"/>
                <w:szCs w:val="18"/>
              </w:rPr>
              <w:t xml:space="preserve">Financial Services Commission (FSC) </w:t>
            </w:r>
            <w:r>
              <w:rPr>
                <w:sz w:val="18"/>
                <w:szCs w:val="18"/>
              </w:rPr>
              <w:t>&amp;</w:t>
            </w:r>
            <w:r w:rsidRPr="00615C9C">
              <w:rPr>
                <w:sz w:val="18"/>
                <w:szCs w:val="18"/>
              </w:rPr>
              <w:t xml:space="preserve"> Korea Exchange (KRX) are officially transitioning to a T+1 cycle, targeted for the second half of 2027. To manage this, authorities are conducting consulting and assessments with foreign investors, global custodians, and brokerages</w:t>
            </w:r>
            <w:r>
              <w:rPr>
                <w:sz w:val="18"/>
                <w:szCs w:val="18"/>
              </w:rPr>
              <w:t>.</w:t>
            </w:r>
          </w:p>
          <w:p w14:paraId="7FC11BD9" w14:textId="77777777" w:rsidR="00660255" w:rsidRDefault="00660255" w:rsidP="00844BED">
            <w:pPr>
              <w:spacing w:line="264" w:lineRule="auto"/>
              <w:ind w:right="537"/>
              <w:rPr>
                <w:sz w:val="18"/>
                <w:szCs w:val="18"/>
              </w:rPr>
            </w:pPr>
          </w:p>
          <w:p w14:paraId="781CED59" w14:textId="5D1315F7" w:rsidR="00660255" w:rsidRDefault="00660255" w:rsidP="00844BED">
            <w:pPr>
              <w:spacing w:line="264" w:lineRule="auto"/>
              <w:ind w:right="537"/>
              <w:rPr>
                <w:sz w:val="18"/>
                <w:szCs w:val="18"/>
              </w:rPr>
            </w:pPr>
            <w:hyperlink r:id="rId15" w:history="1">
              <w:r w:rsidRPr="0048319B">
                <w:rPr>
                  <w:rStyle w:val="Hyperlink"/>
                  <w:sz w:val="18"/>
                  <w:szCs w:val="18"/>
                </w:rPr>
                <w:t>https://biz.chosun.com/en/en-finance/2026/06/24/IQ6W74NEB5H7JCSNVBX57AP24Q/</w:t>
              </w:r>
            </w:hyperlink>
          </w:p>
          <w:p w14:paraId="274E2FC6" w14:textId="24093D86" w:rsidR="00660255" w:rsidRPr="00615C9C" w:rsidRDefault="00660255" w:rsidP="00844BED">
            <w:pPr>
              <w:spacing w:line="264" w:lineRule="auto"/>
              <w:ind w:right="537"/>
              <w:rPr>
                <w:sz w:val="18"/>
                <w:szCs w:val="18"/>
              </w:rPr>
            </w:pPr>
          </w:p>
        </w:tc>
        <w:tc>
          <w:tcPr>
            <w:tcW w:w="7081" w:type="dxa"/>
            <w:vAlign w:val="top"/>
          </w:tcPr>
          <w:p w14:paraId="7847203D" w14:textId="2AA17677" w:rsidR="00A82289" w:rsidRDefault="008E6757" w:rsidP="00844BED">
            <w:pPr>
              <w:spacing w:line="264" w:lineRule="auto"/>
              <w:ind w:left="131" w:right="537"/>
              <w:rPr>
                <w:i/>
                <w:iCs/>
                <w:sz w:val="18"/>
                <w:szCs w:val="18"/>
                <w:lang w:val="en-NZ"/>
              </w:rPr>
            </w:pPr>
            <w:r w:rsidRPr="005F7924">
              <w:rPr>
                <w:sz w:val="18"/>
                <w:szCs w:val="18"/>
                <w:lang w:val="en-NZ"/>
              </w:rPr>
              <w:lastRenderedPageBreak/>
              <w:t>An industry taskforce is formed, targeting early 2028 implementation, pending formal announcement.</w:t>
            </w:r>
          </w:p>
          <w:p w14:paraId="7D8B7C71" w14:textId="578D06CE" w:rsidR="00A82289" w:rsidRPr="008E534F" w:rsidRDefault="00A82289" w:rsidP="00A82289">
            <w:pPr>
              <w:spacing w:line="264" w:lineRule="auto"/>
              <w:ind w:left="131" w:right="537"/>
              <w:rPr>
                <w:i/>
                <w:iCs/>
                <w:sz w:val="18"/>
                <w:szCs w:val="18"/>
                <w:lang w:val="en-NZ"/>
              </w:rPr>
            </w:pPr>
            <w:r>
              <w:rPr>
                <w:i/>
                <w:iCs/>
                <w:sz w:val="18"/>
                <w:szCs w:val="18"/>
                <w:lang w:val="en-NZ"/>
              </w:rPr>
              <w:t>23/6/26 - T</w:t>
            </w:r>
            <w:r w:rsidRPr="00A82289">
              <w:rPr>
                <w:i/>
                <w:iCs/>
                <w:sz w:val="18"/>
                <w:szCs w:val="18"/>
                <w:lang w:val="en-NZ"/>
              </w:rPr>
              <w:t xml:space="preserve">he exchange </w:t>
            </w:r>
            <w:r>
              <w:rPr>
                <w:i/>
                <w:iCs/>
                <w:sz w:val="18"/>
                <w:szCs w:val="18"/>
                <w:lang w:val="en-NZ"/>
              </w:rPr>
              <w:t>&amp;</w:t>
            </w:r>
            <w:r w:rsidRPr="00A82289">
              <w:rPr>
                <w:i/>
                <w:iCs/>
                <w:sz w:val="18"/>
                <w:szCs w:val="18"/>
                <w:lang w:val="en-NZ"/>
              </w:rPr>
              <w:t xml:space="preserve"> the depository will proceed with selecting a consulting firm to shorten the securities market settlement cycle (T+1). They plan to send </w:t>
            </w:r>
            <w:r>
              <w:rPr>
                <w:i/>
                <w:iCs/>
                <w:sz w:val="18"/>
                <w:szCs w:val="18"/>
                <w:lang w:val="en-NZ"/>
              </w:rPr>
              <w:t xml:space="preserve">an </w:t>
            </w:r>
            <w:r w:rsidRPr="00A82289">
              <w:rPr>
                <w:i/>
                <w:iCs/>
                <w:sz w:val="18"/>
                <w:szCs w:val="18"/>
                <w:lang w:val="en-NZ"/>
              </w:rPr>
              <w:t>RFP to major consulting firms this week</w:t>
            </w:r>
            <w:r>
              <w:rPr>
                <w:i/>
                <w:iCs/>
                <w:sz w:val="18"/>
                <w:szCs w:val="18"/>
                <w:lang w:val="en-NZ"/>
              </w:rPr>
              <w:t xml:space="preserve">; </w:t>
            </w:r>
            <w:r w:rsidRPr="00A82289">
              <w:rPr>
                <w:i/>
                <w:iCs/>
                <w:sz w:val="18"/>
                <w:szCs w:val="18"/>
                <w:lang w:val="en-NZ"/>
              </w:rPr>
              <w:t xml:space="preserve">aim to select a preferred bidder in July, start the consulting, </w:t>
            </w:r>
            <w:r>
              <w:rPr>
                <w:i/>
                <w:iCs/>
                <w:sz w:val="18"/>
                <w:szCs w:val="18"/>
                <w:lang w:val="en-NZ"/>
              </w:rPr>
              <w:t>&amp;</w:t>
            </w:r>
            <w:r w:rsidRPr="00A82289">
              <w:rPr>
                <w:i/>
                <w:iCs/>
                <w:sz w:val="18"/>
                <w:szCs w:val="18"/>
                <w:lang w:val="en-NZ"/>
              </w:rPr>
              <w:t xml:space="preserve"> receive the final report in December.</w:t>
            </w:r>
            <w:r>
              <w:rPr>
                <w:i/>
                <w:iCs/>
                <w:sz w:val="18"/>
                <w:szCs w:val="18"/>
                <w:lang w:val="en-NZ"/>
              </w:rPr>
              <w:t xml:space="preserve"> </w:t>
            </w:r>
            <w:r w:rsidRPr="00A82289">
              <w:rPr>
                <w:i/>
                <w:iCs/>
                <w:sz w:val="18"/>
                <w:szCs w:val="18"/>
                <w:lang w:val="en-NZ"/>
              </w:rPr>
              <w:t xml:space="preserve">The core of this consulting is to prepare a standard operating model for introducing a T+1 settlement system to the </w:t>
            </w:r>
            <w:r w:rsidRPr="00A82289">
              <w:rPr>
                <w:i/>
                <w:iCs/>
                <w:sz w:val="18"/>
                <w:szCs w:val="18"/>
                <w:lang w:val="en-NZ"/>
              </w:rPr>
              <w:lastRenderedPageBreak/>
              <w:t xml:space="preserve">domestic securities market </w:t>
            </w:r>
            <w:r>
              <w:rPr>
                <w:i/>
                <w:iCs/>
                <w:sz w:val="18"/>
                <w:szCs w:val="18"/>
                <w:lang w:val="en-NZ"/>
              </w:rPr>
              <w:t xml:space="preserve">&amp; </w:t>
            </w:r>
            <w:r w:rsidRPr="00A82289">
              <w:rPr>
                <w:i/>
                <w:iCs/>
                <w:sz w:val="18"/>
                <w:szCs w:val="18"/>
                <w:lang w:val="en-NZ"/>
              </w:rPr>
              <w:t>standard business guidelines by sector. Based on the consulting results, the exchange and the depository are expected to flesh out the detailed transition roadmap and the direction of system reforms.</w:t>
            </w:r>
          </w:p>
        </w:tc>
      </w:tr>
      <w:tr w:rsidR="00211B4B" w:rsidRPr="00C55371" w14:paraId="432E9261" w14:textId="77777777" w:rsidTr="00A04E58">
        <w:tc>
          <w:tcPr>
            <w:tcW w:w="1459" w:type="dxa"/>
            <w:vAlign w:val="top"/>
          </w:tcPr>
          <w:p w14:paraId="0D12964A" w14:textId="3C82E867" w:rsidR="00211B4B" w:rsidRDefault="00211B4B" w:rsidP="00844BED">
            <w:pPr>
              <w:spacing w:line="264" w:lineRule="auto"/>
              <w:ind w:right="537"/>
              <w:rPr>
                <w:sz w:val="18"/>
                <w:szCs w:val="18"/>
                <w:lang w:val="en-NZ"/>
              </w:rPr>
            </w:pPr>
            <w:r>
              <w:rPr>
                <w:sz w:val="18"/>
                <w:szCs w:val="18"/>
                <w:lang w:val="en-NZ"/>
              </w:rPr>
              <w:lastRenderedPageBreak/>
              <w:t>Taiwan</w:t>
            </w:r>
          </w:p>
        </w:tc>
        <w:tc>
          <w:tcPr>
            <w:tcW w:w="5914" w:type="dxa"/>
            <w:vAlign w:val="top"/>
          </w:tcPr>
          <w:p w14:paraId="72AC3D63" w14:textId="00A5E35E" w:rsidR="00211B4B" w:rsidRDefault="005F1895" w:rsidP="00844BED">
            <w:pPr>
              <w:spacing w:line="264" w:lineRule="auto"/>
              <w:ind w:right="537"/>
            </w:pPr>
            <w:hyperlink r:id="rId16" w:history="1">
              <w:r w:rsidRPr="0048319B">
                <w:rPr>
                  <w:rStyle w:val="Hyperlink"/>
                </w:rPr>
                <w:t>https://www.twse.com.tw/en/index.html</w:t>
              </w:r>
            </w:hyperlink>
          </w:p>
          <w:p w14:paraId="1D1C53D3" w14:textId="45DAF4E2" w:rsidR="005F1895" w:rsidRPr="005F1895" w:rsidRDefault="005F1895" w:rsidP="00844BED">
            <w:pPr>
              <w:spacing w:line="264" w:lineRule="auto"/>
              <w:ind w:right="537"/>
            </w:pPr>
          </w:p>
        </w:tc>
        <w:tc>
          <w:tcPr>
            <w:tcW w:w="7081" w:type="dxa"/>
            <w:vAlign w:val="top"/>
          </w:tcPr>
          <w:p w14:paraId="62C88F4E" w14:textId="6AE84AF2" w:rsidR="00211B4B" w:rsidRPr="008E0563" w:rsidRDefault="00211B4B" w:rsidP="00844BED">
            <w:pPr>
              <w:spacing w:line="264" w:lineRule="auto"/>
              <w:ind w:left="131" w:right="537"/>
              <w:rPr>
                <w:i/>
                <w:iCs/>
                <w:sz w:val="18"/>
                <w:szCs w:val="18"/>
              </w:rPr>
            </w:pPr>
            <w:r w:rsidRPr="008E0563">
              <w:rPr>
                <w:i/>
                <w:iCs/>
                <w:sz w:val="18"/>
                <w:szCs w:val="18"/>
              </w:rPr>
              <w:t xml:space="preserve">14/7/26 – Per WG comment, </w:t>
            </w:r>
            <w:r w:rsidR="008E0563" w:rsidRPr="008E0563">
              <w:rPr>
                <w:i/>
                <w:iCs/>
                <w:sz w:val="18"/>
                <w:szCs w:val="18"/>
              </w:rPr>
              <w:t xml:space="preserve">noted that the Taiwanese Stock Exchange </w:t>
            </w:r>
            <w:r w:rsidR="00444827">
              <w:rPr>
                <w:i/>
                <w:iCs/>
                <w:sz w:val="18"/>
                <w:szCs w:val="18"/>
              </w:rPr>
              <w:t>i</w:t>
            </w:r>
            <w:r w:rsidR="008E0563" w:rsidRPr="008E0563">
              <w:rPr>
                <w:i/>
                <w:iCs/>
                <w:sz w:val="18"/>
                <w:szCs w:val="18"/>
              </w:rPr>
              <w:t>s conducting an outreach survey, with BNY assisting. This was understood to be more of a targeted approach rather than a public survey per se.</w:t>
            </w:r>
          </w:p>
        </w:tc>
      </w:tr>
      <w:tr w:rsidR="005F1895" w:rsidRPr="00C55371" w14:paraId="6B1E1622" w14:textId="77777777" w:rsidTr="00A04E58">
        <w:tc>
          <w:tcPr>
            <w:tcW w:w="1459" w:type="dxa"/>
            <w:vAlign w:val="top"/>
          </w:tcPr>
          <w:p w14:paraId="24CEDF20" w14:textId="496E8F6B" w:rsidR="005F1895" w:rsidRDefault="005F1895" w:rsidP="00844BED">
            <w:pPr>
              <w:spacing w:line="264" w:lineRule="auto"/>
              <w:ind w:right="537"/>
              <w:rPr>
                <w:sz w:val="18"/>
                <w:szCs w:val="18"/>
                <w:lang w:val="en-NZ"/>
              </w:rPr>
            </w:pPr>
            <w:r>
              <w:rPr>
                <w:sz w:val="18"/>
                <w:szCs w:val="18"/>
                <w:lang w:val="en-NZ"/>
              </w:rPr>
              <w:t>Thailand</w:t>
            </w:r>
          </w:p>
        </w:tc>
        <w:tc>
          <w:tcPr>
            <w:tcW w:w="5914" w:type="dxa"/>
            <w:vAlign w:val="top"/>
          </w:tcPr>
          <w:p w14:paraId="003F6407" w14:textId="014CB466" w:rsidR="005F1895" w:rsidRDefault="0005540D" w:rsidP="00844BED">
            <w:pPr>
              <w:spacing w:line="264" w:lineRule="auto"/>
              <w:ind w:right="537"/>
            </w:pPr>
            <w:hyperlink r:id="rId17" w:history="1">
              <w:r w:rsidRPr="0048319B">
                <w:rPr>
                  <w:rStyle w:val="Hyperlink"/>
                </w:rPr>
                <w:t>https://www.set.or.th/en/home</w:t>
              </w:r>
            </w:hyperlink>
          </w:p>
          <w:p w14:paraId="2F5289BF" w14:textId="5A210F0D" w:rsidR="0005540D" w:rsidRDefault="0005540D" w:rsidP="00844BED">
            <w:pPr>
              <w:spacing w:line="264" w:lineRule="auto"/>
              <w:ind w:right="537"/>
            </w:pPr>
          </w:p>
        </w:tc>
        <w:tc>
          <w:tcPr>
            <w:tcW w:w="7081" w:type="dxa"/>
            <w:vAlign w:val="top"/>
          </w:tcPr>
          <w:p w14:paraId="2B6FC342" w14:textId="7453E7C7" w:rsidR="00FC0165" w:rsidRDefault="00FC0165" w:rsidP="00844BED">
            <w:pPr>
              <w:spacing w:line="264" w:lineRule="auto"/>
              <w:ind w:left="131" w:right="537"/>
              <w:rPr>
                <w:i/>
                <w:iCs/>
                <w:sz w:val="18"/>
                <w:szCs w:val="18"/>
              </w:rPr>
            </w:pPr>
            <w:r>
              <w:rPr>
                <w:i/>
                <w:iCs/>
                <w:sz w:val="18"/>
                <w:szCs w:val="18"/>
              </w:rPr>
              <w:t>Actively evaluating</w:t>
            </w:r>
            <w:r w:rsidR="004C4960">
              <w:rPr>
                <w:i/>
                <w:iCs/>
                <w:sz w:val="18"/>
                <w:szCs w:val="18"/>
              </w:rPr>
              <w:t xml:space="preserve"> – dedicated WG established</w:t>
            </w:r>
          </w:p>
          <w:p w14:paraId="0C7B23EE" w14:textId="32421015" w:rsidR="005F1895" w:rsidRPr="008E0563" w:rsidRDefault="00806B18" w:rsidP="00844BED">
            <w:pPr>
              <w:spacing w:line="264" w:lineRule="auto"/>
              <w:ind w:left="131" w:right="537"/>
              <w:rPr>
                <w:i/>
                <w:iCs/>
                <w:sz w:val="18"/>
                <w:szCs w:val="18"/>
              </w:rPr>
            </w:pPr>
            <w:r>
              <w:rPr>
                <w:i/>
                <w:iCs/>
                <w:sz w:val="18"/>
                <w:szCs w:val="18"/>
              </w:rPr>
              <w:t xml:space="preserve">14/7/26 – per WG comment, SET has  </w:t>
            </w:r>
            <w:r w:rsidRPr="00806B18">
              <w:rPr>
                <w:i/>
                <w:iCs/>
                <w:sz w:val="18"/>
                <w:szCs w:val="18"/>
              </w:rPr>
              <w:t xml:space="preserve">recently engaged with custodians and </w:t>
            </w:r>
            <w:r w:rsidRPr="00806B18">
              <w:rPr>
                <w:i/>
                <w:iCs/>
                <w:sz w:val="18"/>
                <w:szCs w:val="18"/>
              </w:rPr>
              <w:t>is</w:t>
            </w:r>
            <w:r w:rsidRPr="00806B18">
              <w:rPr>
                <w:i/>
                <w:iCs/>
                <w:sz w:val="18"/>
                <w:szCs w:val="18"/>
              </w:rPr>
              <w:t xml:space="preserve"> looking to produce some form of gap analysis – key issues to date include cut-off times and end-of-day balance restrictions</w:t>
            </w:r>
            <w:r>
              <w:rPr>
                <w:i/>
                <w:iCs/>
                <w:sz w:val="18"/>
                <w:szCs w:val="18"/>
              </w:rPr>
              <w:t>.</w:t>
            </w:r>
          </w:p>
        </w:tc>
      </w:tr>
      <w:tr w:rsidR="001D78B2" w:rsidRPr="00C55371" w14:paraId="668644C3" w14:textId="77777777" w:rsidTr="00A04E58">
        <w:tc>
          <w:tcPr>
            <w:tcW w:w="1459" w:type="dxa"/>
            <w:vAlign w:val="top"/>
          </w:tcPr>
          <w:p w14:paraId="445163A2" w14:textId="13F9347C" w:rsidR="001D78B2" w:rsidRDefault="001D78B2" w:rsidP="00844BED">
            <w:pPr>
              <w:spacing w:line="264" w:lineRule="auto"/>
              <w:ind w:right="537"/>
              <w:rPr>
                <w:sz w:val="18"/>
                <w:szCs w:val="18"/>
                <w:lang w:val="en-NZ"/>
              </w:rPr>
            </w:pPr>
            <w:r>
              <w:rPr>
                <w:sz w:val="18"/>
                <w:szCs w:val="18"/>
                <w:lang w:val="en-NZ"/>
              </w:rPr>
              <w:t>Vietnam</w:t>
            </w:r>
          </w:p>
        </w:tc>
        <w:tc>
          <w:tcPr>
            <w:tcW w:w="5914" w:type="dxa"/>
            <w:vAlign w:val="top"/>
          </w:tcPr>
          <w:p w14:paraId="01680ABB" w14:textId="77777777" w:rsidR="001D78B2" w:rsidRDefault="001D78B2" w:rsidP="00844BED">
            <w:pPr>
              <w:spacing w:line="264" w:lineRule="auto"/>
              <w:ind w:right="537"/>
            </w:pPr>
          </w:p>
        </w:tc>
        <w:tc>
          <w:tcPr>
            <w:tcW w:w="7081" w:type="dxa"/>
            <w:vAlign w:val="top"/>
          </w:tcPr>
          <w:p w14:paraId="0F706959" w14:textId="2EDD5670" w:rsidR="001D78B2" w:rsidRDefault="001D78B2" w:rsidP="00844BED">
            <w:pPr>
              <w:spacing w:line="264" w:lineRule="auto"/>
              <w:ind w:left="131" w:right="537"/>
              <w:rPr>
                <w:i/>
                <w:iCs/>
                <w:sz w:val="18"/>
                <w:szCs w:val="18"/>
              </w:rPr>
            </w:pPr>
            <w:r w:rsidRPr="008E534F">
              <w:rPr>
                <w:i/>
                <w:iCs/>
                <w:sz w:val="18"/>
                <w:szCs w:val="18"/>
                <w:lang w:val="en-NZ"/>
              </w:rPr>
              <w:t>No immediate plans</w:t>
            </w:r>
          </w:p>
        </w:tc>
      </w:tr>
    </w:tbl>
    <w:p w14:paraId="7889F7B1" w14:textId="77777777" w:rsidR="00A27A9A" w:rsidRDefault="00A27A9A">
      <w:r>
        <w:br w:type="page"/>
      </w:r>
    </w:p>
    <w:tbl>
      <w:tblPr>
        <w:tblStyle w:val="TableGrid"/>
        <w:tblW w:w="14454" w:type="dxa"/>
        <w:tblLook w:val="04A0" w:firstRow="1" w:lastRow="0" w:firstColumn="1" w:lastColumn="0" w:noHBand="0" w:noVBand="1"/>
      </w:tblPr>
      <w:tblGrid>
        <w:gridCol w:w="1459"/>
        <w:gridCol w:w="5914"/>
        <w:gridCol w:w="7081"/>
      </w:tblGrid>
      <w:tr w:rsidR="00AD00A4" w:rsidRPr="00C55371" w14:paraId="0E2ADFC3" w14:textId="77777777" w:rsidTr="00A04E58">
        <w:trPr>
          <w:cnfStyle w:val="100000000000" w:firstRow="1" w:lastRow="0" w:firstColumn="0" w:lastColumn="0" w:oddVBand="0" w:evenVBand="0" w:oddHBand="0" w:evenHBand="0" w:firstRowFirstColumn="0" w:firstRowLastColumn="0" w:lastRowFirstColumn="0" w:lastRowLastColumn="0"/>
        </w:trPr>
        <w:tc>
          <w:tcPr>
            <w:tcW w:w="1459" w:type="dxa"/>
            <w:vAlign w:val="top"/>
          </w:tcPr>
          <w:p w14:paraId="4D89E22D" w14:textId="33AD8A99" w:rsidR="00AD00A4" w:rsidRPr="00675DF0" w:rsidRDefault="00AE43AF" w:rsidP="009D2427">
            <w:pPr>
              <w:spacing w:line="264" w:lineRule="auto"/>
              <w:ind w:right="537"/>
              <w:rPr>
                <w:b w:val="0"/>
                <w:bCs/>
                <w:sz w:val="18"/>
                <w:szCs w:val="18"/>
                <w:lang w:val="en-NZ"/>
              </w:rPr>
            </w:pPr>
            <w:r>
              <w:rPr>
                <w:b w:val="0"/>
                <w:bCs/>
                <w:sz w:val="18"/>
                <w:szCs w:val="18"/>
                <w:lang w:val="en-NZ"/>
              </w:rPr>
              <w:lastRenderedPageBreak/>
              <w:t>A</w:t>
            </w:r>
            <w:r w:rsidR="00AD00A4" w:rsidRPr="00675DF0">
              <w:rPr>
                <w:b w:val="0"/>
                <w:bCs/>
                <w:sz w:val="18"/>
                <w:szCs w:val="18"/>
                <w:lang w:val="en-NZ"/>
              </w:rPr>
              <w:t>sia (Various)</w:t>
            </w:r>
          </w:p>
        </w:tc>
        <w:tc>
          <w:tcPr>
            <w:tcW w:w="5914" w:type="dxa"/>
            <w:vAlign w:val="top"/>
          </w:tcPr>
          <w:p w14:paraId="3DB6B389" w14:textId="77777777" w:rsidR="00AD00A4" w:rsidRPr="00675DF0" w:rsidRDefault="00AD00A4" w:rsidP="009D2427">
            <w:pPr>
              <w:spacing w:before="0"/>
              <w:ind w:left="0" w:right="537"/>
              <w:rPr>
                <w:b w:val="0"/>
                <w:bCs/>
                <w:sz w:val="18"/>
                <w:szCs w:val="18"/>
                <w:lang w:val="en-NZ"/>
              </w:rPr>
            </w:pPr>
            <w:r w:rsidRPr="00675DF0">
              <w:rPr>
                <w:b w:val="0"/>
                <w:bCs/>
                <w:sz w:val="18"/>
                <w:szCs w:val="18"/>
                <w:lang w:val="en-NZ"/>
              </w:rPr>
              <w:t xml:space="preserve">ASIFMA  </w:t>
            </w:r>
            <w:hyperlink r:id="rId18" w:tooltip="https://www.asifma.org/wp-content/uploads/2025/12/t1-report-press-release.pdf" w:history="1">
              <w:r w:rsidRPr="00675DF0">
                <w:rPr>
                  <w:rStyle w:val="Hyperlink"/>
                  <w:b w:val="0"/>
                  <w:bCs/>
                  <w:color w:val="0070C0"/>
                  <w:sz w:val="18"/>
                  <w:szCs w:val="18"/>
                </w:rPr>
                <w:t>https://www.asifma.org/wp-content/uploads/2025/12/t1-report-press-release.pdf</w:t>
              </w:r>
            </w:hyperlink>
          </w:p>
          <w:p w14:paraId="25126AC9" w14:textId="77777777" w:rsidR="00AD00A4" w:rsidRPr="00675DF0" w:rsidRDefault="00AD00A4" w:rsidP="009D2427">
            <w:pPr>
              <w:spacing w:before="0"/>
              <w:ind w:left="1555" w:right="537"/>
              <w:rPr>
                <w:b w:val="0"/>
                <w:bCs/>
                <w:sz w:val="18"/>
                <w:szCs w:val="18"/>
                <w:lang w:val="en-NZ"/>
              </w:rPr>
            </w:pPr>
          </w:p>
          <w:p w14:paraId="4305EB4A" w14:textId="77777777" w:rsidR="00AD00A4" w:rsidRPr="00675DF0" w:rsidRDefault="00AD00A4" w:rsidP="009D2427">
            <w:pPr>
              <w:spacing w:before="0"/>
              <w:ind w:left="0" w:right="537"/>
              <w:rPr>
                <w:b w:val="0"/>
                <w:bCs/>
                <w:color w:val="0070C0"/>
                <w:sz w:val="18"/>
                <w:szCs w:val="18"/>
              </w:rPr>
            </w:pPr>
            <w:r w:rsidRPr="00675DF0">
              <w:rPr>
                <w:b w:val="0"/>
                <w:bCs/>
                <w:sz w:val="18"/>
                <w:szCs w:val="18"/>
              </w:rPr>
              <w:t xml:space="preserve">  </w:t>
            </w:r>
            <w:hyperlink r:id="rId19" w:history="1">
              <w:r w:rsidRPr="00675DF0">
                <w:rPr>
                  <w:rStyle w:val="Hyperlink"/>
                  <w:b w:val="0"/>
                  <w:bCs/>
                  <w:color w:val="0070C0"/>
                  <w:sz w:val="18"/>
                  <w:szCs w:val="18"/>
                </w:rPr>
                <w:t>https://www.asifma.org/wp-content/uploads/2025/12/asifma_t1-whitepaper_v1.5-final.pdf</w:t>
              </w:r>
            </w:hyperlink>
          </w:p>
          <w:p w14:paraId="438984C4" w14:textId="77777777" w:rsidR="00AD00A4" w:rsidRPr="00675DF0" w:rsidRDefault="00AD00A4" w:rsidP="009D2427">
            <w:pPr>
              <w:spacing w:before="0"/>
              <w:ind w:left="0" w:right="537"/>
              <w:rPr>
                <w:b w:val="0"/>
                <w:bCs/>
              </w:rPr>
            </w:pPr>
            <w:r w:rsidRPr="00675DF0">
              <w:rPr>
                <w:b w:val="0"/>
                <w:bCs/>
                <w:sz w:val="18"/>
                <w:szCs w:val="18"/>
              </w:rPr>
              <w:t>The Value Exchange:</w:t>
            </w:r>
            <w:r w:rsidRPr="00675DF0">
              <w:rPr>
                <w:b w:val="0"/>
                <w:bCs/>
              </w:rPr>
              <w:t xml:space="preserve"> </w:t>
            </w:r>
            <w:r w:rsidR="007D61B7" w:rsidRPr="00675DF0">
              <w:rPr>
                <w:b w:val="0"/>
                <w:bCs/>
              </w:rPr>
              <w:object w:dxaOrig="1501" w:dyaOrig="980" w14:anchorId="711D8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8.75pt" o:ole="">
                  <v:imagedata r:id="rId20" o:title=""/>
                </v:shape>
                <o:OLEObject Type="Embed" ProgID="Package" ShapeID="_x0000_i1025" DrawAspect="Icon" ObjectID="_1845727147" r:id="rId21"/>
              </w:object>
            </w:r>
          </w:p>
          <w:p w14:paraId="4E975698" w14:textId="75957B7E" w:rsidR="00675DF0" w:rsidRPr="00675DF0" w:rsidRDefault="00675DF0" w:rsidP="00272D89">
            <w:pPr>
              <w:spacing w:before="0"/>
              <w:ind w:left="0" w:right="537"/>
              <w:rPr>
                <w:b w:val="0"/>
                <w:bCs/>
                <w:sz w:val="18"/>
                <w:szCs w:val="18"/>
                <w:lang w:val="en-NZ"/>
              </w:rPr>
            </w:pPr>
            <w:hyperlink r:id="rId22" w:history="1">
              <w:r w:rsidRPr="00675DF0">
                <w:rPr>
                  <w:rStyle w:val="Hyperlink"/>
                  <w:b w:val="0"/>
                  <w:bCs/>
                  <w:sz w:val="18"/>
                  <w:szCs w:val="18"/>
                  <w:lang w:val="en-NZ"/>
                </w:rPr>
                <w:t>https://equilend.com/insight/the-quiet-countdown-to-t1-settlement-in-asia/</w:t>
              </w:r>
            </w:hyperlink>
          </w:p>
        </w:tc>
        <w:tc>
          <w:tcPr>
            <w:tcW w:w="7081" w:type="dxa"/>
            <w:vAlign w:val="top"/>
          </w:tcPr>
          <w:p w14:paraId="1EE1DA31" w14:textId="77777777" w:rsidR="00AD00A4" w:rsidRPr="00C55371" w:rsidRDefault="00AD00A4" w:rsidP="009D2427">
            <w:pPr>
              <w:spacing w:line="264" w:lineRule="auto"/>
              <w:ind w:right="537"/>
              <w:rPr>
                <w:sz w:val="18"/>
                <w:szCs w:val="18"/>
                <w:lang w:val="en-NZ"/>
              </w:rPr>
            </w:pPr>
            <w:r w:rsidRPr="00C55371">
              <w:rPr>
                <w:sz w:val="18"/>
                <w:szCs w:val="18"/>
                <w:lang w:val="en-NZ"/>
              </w:rPr>
              <w:t>Press release/short summary</w:t>
            </w:r>
          </w:p>
          <w:p w14:paraId="396DE60C" w14:textId="77777777" w:rsidR="00AD00A4" w:rsidRDefault="00AD00A4" w:rsidP="009D2427">
            <w:pPr>
              <w:spacing w:line="264" w:lineRule="auto"/>
              <w:ind w:right="537"/>
              <w:rPr>
                <w:sz w:val="18"/>
                <w:szCs w:val="18"/>
              </w:rPr>
            </w:pPr>
            <w:r w:rsidRPr="00C55371">
              <w:rPr>
                <w:sz w:val="18"/>
                <w:szCs w:val="18"/>
              </w:rPr>
              <w:t>Review of current post-trade processes / view of potential impacts seen in each market and across the region.</w:t>
            </w:r>
          </w:p>
          <w:p w14:paraId="6A1BD14E" w14:textId="77777777" w:rsidR="00D8007B" w:rsidRDefault="00D8007B" w:rsidP="009D2427">
            <w:pPr>
              <w:spacing w:line="264" w:lineRule="auto"/>
              <w:ind w:right="537"/>
              <w:rPr>
                <w:sz w:val="18"/>
                <w:szCs w:val="18"/>
              </w:rPr>
            </w:pPr>
          </w:p>
          <w:p w14:paraId="647D52E4" w14:textId="77777777" w:rsidR="00D8007B" w:rsidRDefault="00D8007B" w:rsidP="009D2427">
            <w:pPr>
              <w:spacing w:line="264" w:lineRule="auto"/>
              <w:ind w:right="537"/>
              <w:rPr>
                <w:sz w:val="18"/>
                <w:szCs w:val="18"/>
              </w:rPr>
            </w:pPr>
          </w:p>
          <w:p w14:paraId="597C3C87" w14:textId="483997B2" w:rsidR="00891DC3" w:rsidRPr="00C55371" w:rsidRDefault="00891DC3" w:rsidP="009D2427">
            <w:pPr>
              <w:spacing w:line="264" w:lineRule="auto"/>
              <w:ind w:right="537"/>
              <w:rPr>
                <w:sz w:val="18"/>
                <w:szCs w:val="18"/>
                <w:lang w:val="en-NZ"/>
              </w:rPr>
            </w:pPr>
            <w:r>
              <w:rPr>
                <w:sz w:val="18"/>
                <w:szCs w:val="18"/>
              </w:rPr>
              <w:t>I</w:t>
            </w:r>
            <w:r w:rsidRPr="00891DC3">
              <w:rPr>
                <w:sz w:val="18"/>
                <w:szCs w:val="18"/>
              </w:rPr>
              <w:t>nsights into what investors, intermediaries and market infrastructures are focusing on</w:t>
            </w:r>
            <w:r w:rsidR="00A14F96">
              <w:rPr>
                <w:sz w:val="18"/>
                <w:szCs w:val="18"/>
              </w:rPr>
              <w:t>; a</w:t>
            </w:r>
            <w:r w:rsidRPr="00891DC3">
              <w:rPr>
                <w:sz w:val="18"/>
                <w:szCs w:val="18"/>
              </w:rPr>
              <w:t>lso intended to provide the grounding for a new approach to T+1 in Asia-Pacific</w:t>
            </w:r>
          </w:p>
        </w:tc>
      </w:tr>
      <w:tr w:rsidR="006733E1" w:rsidRPr="00C55371" w14:paraId="027D96CF" w14:textId="77777777" w:rsidTr="00A04E58">
        <w:tc>
          <w:tcPr>
            <w:tcW w:w="1459" w:type="dxa"/>
            <w:vAlign w:val="top"/>
          </w:tcPr>
          <w:p w14:paraId="50077D10" w14:textId="4B8F3176" w:rsidR="006733E1" w:rsidRDefault="005F7924" w:rsidP="009D2427">
            <w:pPr>
              <w:spacing w:line="264" w:lineRule="auto"/>
              <w:ind w:right="537"/>
              <w:rPr>
                <w:sz w:val="18"/>
                <w:szCs w:val="18"/>
                <w:lang w:val="en-NZ"/>
              </w:rPr>
            </w:pPr>
            <w:r>
              <w:rPr>
                <w:sz w:val="18"/>
                <w:szCs w:val="18"/>
                <w:lang w:val="en-NZ"/>
              </w:rPr>
              <w:t>Various</w:t>
            </w:r>
          </w:p>
        </w:tc>
        <w:tc>
          <w:tcPr>
            <w:tcW w:w="5914" w:type="dxa"/>
            <w:vAlign w:val="top"/>
          </w:tcPr>
          <w:p w14:paraId="3FE75539" w14:textId="1BBB8484" w:rsidR="006733E1" w:rsidRDefault="00F95F25" w:rsidP="009D2427">
            <w:pPr>
              <w:spacing w:line="264" w:lineRule="auto"/>
              <w:ind w:right="537"/>
              <w:rPr>
                <w:sz w:val="18"/>
                <w:szCs w:val="18"/>
                <w:lang w:val="en-NZ"/>
              </w:rPr>
            </w:pPr>
            <w:hyperlink r:id="rId23" w:history="1">
              <w:r w:rsidRPr="00DC0898">
                <w:rPr>
                  <w:rStyle w:val="Hyperlink"/>
                  <w:sz w:val="18"/>
                  <w:szCs w:val="18"/>
                  <w:lang w:val="en-NZ"/>
                </w:rPr>
                <w:t>https://www.business.hsbc.com/en-gb/financial-regulations/tplus1-settlement-cycle</w:t>
              </w:r>
            </w:hyperlink>
          </w:p>
          <w:p w14:paraId="2DE82F9F" w14:textId="77777777" w:rsidR="00F95F25" w:rsidRDefault="00F95F25" w:rsidP="009D2427">
            <w:pPr>
              <w:spacing w:line="264" w:lineRule="auto"/>
              <w:ind w:right="537"/>
              <w:rPr>
                <w:sz w:val="18"/>
                <w:szCs w:val="18"/>
                <w:lang w:val="en-NZ"/>
              </w:rPr>
            </w:pPr>
          </w:p>
          <w:p w14:paraId="7A234007" w14:textId="1B35954E" w:rsidR="00444827" w:rsidRDefault="00444827" w:rsidP="009D2427">
            <w:pPr>
              <w:spacing w:line="264" w:lineRule="auto"/>
              <w:ind w:right="537"/>
              <w:rPr>
                <w:sz w:val="18"/>
                <w:szCs w:val="18"/>
                <w:lang w:val="en-NZ"/>
              </w:rPr>
            </w:pPr>
            <w:hyperlink r:id="rId24" w:history="1">
              <w:r w:rsidRPr="0048319B">
                <w:rPr>
                  <w:rStyle w:val="Hyperlink"/>
                  <w:sz w:val="18"/>
                  <w:szCs w:val="18"/>
                  <w:lang w:val="en-NZ"/>
                </w:rPr>
                <w:t>https://www.dtcc.com/dtcc-connection/articles/2026/april/23/t1-in-asiapacific-preparing-posttrade-operations-for-whats-ahead</w:t>
              </w:r>
            </w:hyperlink>
          </w:p>
          <w:p w14:paraId="4A55A08F" w14:textId="7A5E9187" w:rsidR="00444827" w:rsidRDefault="00444827" w:rsidP="009D2427">
            <w:pPr>
              <w:spacing w:line="264" w:lineRule="auto"/>
              <w:ind w:right="537"/>
              <w:rPr>
                <w:sz w:val="18"/>
                <w:szCs w:val="18"/>
                <w:lang w:val="en-NZ"/>
              </w:rPr>
            </w:pPr>
          </w:p>
        </w:tc>
        <w:tc>
          <w:tcPr>
            <w:tcW w:w="7081" w:type="dxa"/>
            <w:vAlign w:val="top"/>
          </w:tcPr>
          <w:p w14:paraId="51FD6E4E" w14:textId="241276E3" w:rsidR="006733E1" w:rsidRPr="00F95F25" w:rsidRDefault="006733E1" w:rsidP="00767765">
            <w:pPr>
              <w:spacing w:line="264" w:lineRule="auto"/>
              <w:ind w:left="131" w:right="537"/>
              <w:rPr>
                <w:sz w:val="18"/>
                <w:szCs w:val="18"/>
                <w:lang w:val="en-NZ"/>
              </w:rPr>
            </w:pPr>
          </w:p>
        </w:tc>
      </w:tr>
      <w:tr w:rsidR="00AD00A4" w:rsidRPr="00C55371" w14:paraId="23E72B55" w14:textId="77777777" w:rsidTr="00A04E58">
        <w:tc>
          <w:tcPr>
            <w:tcW w:w="1459" w:type="dxa"/>
            <w:vAlign w:val="top"/>
          </w:tcPr>
          <w:p w14:paraId="75D232A2" w14:textId="77777777" w:rsidR="00AD00A4" w:rsidRPr="00C55371" w:rsidRDefault="00AD00A4" w:rsidP="009D2427">
            <w:pPr>
              <w:spacing w:line="264" w:lineRule="auto"/>
              <w:ind w:right="537"/>
              <w:rPr>
                <w:sz w:val="18"/>
                <w:szCs w:val="18"/>
                <w:lang w:val="en-NZ"/>
              </w:rPr>
            </w:pPr>
            <w:r w:rsidRPr="00C55371">
              <w:rPr>
                <w:sz w:val="18"/>
                <w:szCs w:val="18"/>
                <w:lang w:val="en-NZ"/>
              </w:rPr>
              <w:t xml:space="preserve">Add other markets as located … </w:t>
            </w:r>
          </w:p>
        </w:tc>
        <w:tc>
          <w:tcPr>
            <w:tcW w:w="5914" w:type="dxa"/>
            <w:vAlign w:val="top"/>
          </w:tcPr>
          <w:p w14:paraId="1BED5C00" w14:textId="77777777" w:rsidR="00AD00A4" w:rsidRPr="00C55371" w:rsidRDefault="00AD00A4" w:rsidP="009D2427">
            <w:pPr>
              <w:spacing w:line="264" w:lineRule="auto"/>
              <w:ind w:right="537"/>
              <w:rPr>
                <w:sz w:val="18"/>
                <w:szCs w:val="18"/>
                <w:lang w:val="en-NZ"/>
              </w:rPr>
            </w:pPr>
          </w:p>
        </w:tc>
        <w:tc>
          <w:tcPr>
            <w:tcW w:w="7081" w:type="dxa"/>
            <w:vAlign w:val="top"/>
          </w:tcPr>
          <w:p w14:paraId="7BEF3C3F" w14:textId="77777777" w:rsidR="00AD00A4" w:rsidRPr="00C55371" w:rsidRDefault="00AD00A4" w:rsidP="009D2427">
            <w:pPr>
              <w:spacing w:line="264" w:lineRule="auto"/>
              <w:ind w:right="537"/>
              <w:rPr>
                <w:sz w:val="18"/>
                <w:szCs w:val="18"/>
                <w:lang w:val="en-NZ"/>
              </w:rPr>
            </w:pPr>
          </w:p>
        </w:tc>
      </w:tr>
      <w:tr w:rsidR="00AD00A4" w:rsidRPr="00C55371" w14:paraId="33C86D2C" w14:textId="77777777" w:rsidTr="00A04E58">
        <w:tc>
          <w:tcPr>
            <w:tcW w:w="1459" w:type="dxa"/>
            <w:vAlign w:val="top"/>
          </w:tcPr>
          <w:p w14:paraId="76762BD3" w14:textId="77777777" w:rsidR="00AD00A4" w:rsidRPr="00C55371" w:rsidRDefault="00AD00A4" w:rsidP="009D2427">
            <w:pPr>
              <w:spacing w:line="264" w:lineRule="auto"/>
              <w:ind w:right="537"/>
              <w:rPr>
                <w:sz w:val="18"/>
                <w:szCs w:val="18"/>
                <w:lang w:val="en-NZ"/>
              </w:rPr>
            </w:pPr>
          </w:p>
        </w:tc>
        <w:tc>
          <w:tcPr>
            <w:tcW w:w="5914" w:type="dxa"/>
            <w:vAlign w:val="top"/>
          </w:tcPr>
          <w:p w14:paraId="2E7C3697" w14:textId="77777777" w:rsidR="00AD00A4" w:rsidRPr="00C55371" w:rsidRDefault="00AD00A4" w:rsidP="009D2427">
            <w:pPr>
              <w:spacing w:line="264" w:lineRule="auto"/>
              <w:ind w:right="537"/>
              <w:rPr>
                <w:sz w:val="18"/>
                <w:szCs w:val="18"/>
                <w:lang w:val="en-NZ"/>
              </w:rPr>
            </w:pPr>
          </w:p>
        </w:tc>
        <w:tc>
          <w:tcPr>
            <w:tcW w:w="7081" w:type="dxa"/>
            <w:vAlign w:val="top"/>
          </w:tcPr>
          <w:p w14:paraId="6E46F8EC" w14:textId="77777777" w:rsidR="00AD00A4" w:rsidRPr="00C55371" w:rsidRDefault="00AD00A4" w:rsidP="009D2427">
            <w:pPr>
              <w:spacing w:line="264" w:lineRule="auto"/>
              <w:ind w:right="537"/>
              <w:rPr>
                <w:sz w:val="18"/>
                <w:szCs w:val="18"/>
                <w:lang w:val="en-NZ"/>
              </w:rPr>
            </w:pPr>
          </w:p>
        </w:tc>
      </w:tr>
    </w:tbl>
    <w:p w14:paraId="4283595E" w14:textId="77777777" w:rsidR="00B3562D" w:rsidRDefault="00B3562D" w:rsidP="001B77FD">
      <w:pPr>
        <w:tabs>
          <w:tab w:val="clear" w:pos="10206"/>
        </w:tabs>
      </w:pPr>
    </w:p>
    <w:sectPr w:rsidR="00B3562D" w:rsidSect="009C6A3D">
      <w:pgSz w:w="16838" w:h="11906" w:orient="landscape"/>
      <w:pgMar w:top="1440" w:right="1440" w:bottom="22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Headings CS)">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6DD4"/>
    <w:multiLevelType w:val="multilevel"/>
    <w:tmpl w:val="4D06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0D57409"/>
    <w:multiLevelType w:val="multilevel"/>
    <w:tmpl w:val="8566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52653938">
    <w:abstractNumId w:val="1"/>
  </w:num>
  <w:num w:numId="2" w16cid:durableId="553203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0A4"/>
    <w:rsid w:val="0003381B"/>
    <w:rsid w:val="0005540D"/>
    <w:rsid w:val="000F039C"/>
    <w:rsid w:val="000F09A3"/>
    <w:rsid w:val="0010430E"/>
    <w:rsid w:val="001236AC"/>
    <w:rsid w:val="001B77FD"/>
    <w:rsid w:val="001D78B2"/>
    <w:rsid w:val="00202911"/>
    <w:rsid w:val="00211B4B"/>
    <w:rsid w:val="00272D89"/>
    <w:rsid w:val="0033266B"/>
    <w:rsid w:val="00404B14"/>
    <w:rsid w:val="00437F43"/>
    <w:rsid w:val="00444827"/>
    <w:rsid w:val="0047731C"/>
    <w:rsid w:val="004A5B3D"/>
    <w:rsid w:val="004B4253"/>
    <w:rsid w:val="004C4960"/>
    <w:rsid w:val="0050508F"/>
    <w:rsid w:val="00513284"/>
    <w:rsid w:val="00516F1E"/>
    <w:rsid w:val="005407FA"/>
    <w:rsid w:val="005648F9"/>
    <w:rsid w:val="00583F1D"/>
    <w:rsid w:val="005F1895"/>
    <w:rsid w:val="005F7924"/>
    <w:rsid w:val="00614720"/>
    <w:rsid w:val="00615C9C"/>
    <w:rsid w:val="006371ED"/>
    <w:rsid w:val="00660255"/>
    <w:rsid w:val="006733E1"/>
    <w:rsid w:val="00675DF0"/>
    <w:rsid w:val="006C773A"/>
    <w:rsid w:val="007338A1"/>
    <w:rsid w:val="00767765"/>
    <w:rsid w:val="007D61B7"/>
    <w:rsid w:val="00806B18"/>
    <w:rsid w:val="00852897"/>
    <w:rsid w:val="00856F57"/>
    <w:rsid w:val="00891DC3"/>
    <w:rsid w:val="008E0563"/>
    <w:rsid w:val="008E534F"/>
    <w:rsid w:val="008E6757"/>
    <w:rsid w:val="00925C01"/>
    <w:rsid w:val="00973487"/>
    <w:rsid w:val="009C6A3D"/>
    <w:rsid w:val="009E2919"/>
    <w:rsid w:val="00A04E58"/>
    <w:rsid w:val="00A14F96"/>
    <w:rsid w:val="00A27A9A"/>
    <w:rsid w:val="00A413B3"/>
    <w:rsid w:val="00A82289"/>
    <w:rsid w:val="00AD00A4"/>
    <w:rsid w:val="00AD0226"/>
    <w:rsid w:val="00AE43AF"/>
    <w:rsid w:val="00B25AAE"/>
    <w:rsid w:val="00B2601B"/>
    <w:rsid w:val="00B27C7D"/>
    <w:rsid w:val="00B3562D"/>
    <w:rsid w:val="00B74BEE"/>
    <w:rsid w:val="00BC6723"/>
    <w:rsid w:val="00C1244F"/>
    <w:rsid w:val="00C4172F"/>
    <w:rsid w:val="00CE336B"/>
    <w:rsid w:val="00D260C0"/>
    <w:rsid w:val="00D8007B"/>
    <w:rsid w:val="00DA3092"/>
    <w:rsid w:val="00DD1DF0"/>
    <w:rsid w:val="00DF0E18"/>
    <w:rsid w:val="00EC52FC"/>
    <w:rsid w:val="00F501BA"/>
    <w:rsid w:val="00F95F25"/>
    <w:rsid w:val="00FC0165"/>
    <w:rsid w:val="00FF2E2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0D18F"/>
  <w15:chartTrackingRefBased/>
  <w15:docId w15:val="{A39DAC9F-A9CC-4C1C-A958-219365028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w:qFormat/>
    <w:rsid w:val="00AD00A4"/>
    <w:pPr>
      <w:tabs>
        <w:tab w:val="right" w:pos="10206"/>
      </w:tabs>
      <w:spacing w:after="0" w:line="288" w:lineRule="auto"/>
    </w:pPr>
    <w:rPr>
      <w:rFonts w:ascii="Calibri" w:hAnsi="Calibri" w:cs="Arial (Headings CS)"/>
      <w:color w:val="000000" w:themeColor="text1"/>
      <w:kern w:val="0"/>
      <w:sz w:val="21"/>
      <w:szCs w:val="21"/>
      <w:lang w:val="en-GB" w:eastAsia="ja-JP"/>
      <w14:ligatures w14:val="none"/>
    </w:rPr>
  </w:style>
  <w:style w:type="paragraph" w:styleId="Heading1">
    <w:name w:val="heading 1"/>
    <w:basedOn w:val="Normal"/>
    <w:next w:val="Normal"/>
    <w:link w:val="Heading1Char"/>
    <w:uiPriority w:val="9"/>
    <w:qFormat/>
    <w:rsid w:val="00AD00A4"/>
    <w:pPr>
      <w:keepNext/>
      <w:keepLines/>
      <w:tabs>
        <w:tab w:val="clear" w:pos="10206"/>
      </w:tabs>
      <w:spacing w:before="360" w:after="80" w:line="278" w:lineRule="auto"/>
      <w:outlineLvl w:val="0"/>
    </w:pPr>
    <w:rPr>
      <w:rFonts w:asciiTheme="majorHAnsi" w:eastAsiaTheme="majorEastAsia" w:hAnsiTheme="majorHAnsi" w:cstheme="majorBidi"/>
      <w:color w:val="0F4761" w:themeColor="accent1" w:themeShade="BF"/>
      <w:kern w:val="2"/>
      <w:sz w:val="40"/>
      <w:szCs w:val="40"/>
      <w:lang w:val="en-NZ" w:eastAsia="en-US"/>
      <w14:ligatures w14:val="standardContextual"/>
    </w:rPr>
  </w:style>
  <w:style w:type="paragraph" w:styleId="Heading2">
    <w:name w:val="heading 2"/>
    <w:basedOn w:val="Normal"/>
    <w:next w:val="Normal"/>
    <w:link w:val="Heading2Char"/>
    <w:uiPriority w:val="9"/>
    <w:semiHidden/>
    <w:unhideWhenUsed/>
    <w:qFormat/>
    <w:rsid w:val="00AD00A4"/>
    <w:pPr>
      <w:keepNext/>
      <w:keepLines/>
      <w:tabs>
        <w:tab w:val="clear" w:pos="10206"/>
      </w:tabs>
      <w:spacing w:before="160" w:after="80" w:line="278" w:lineRule="auto"/>
      <w:outlineLvl w:val="1"/>
    </w:pPr>
    <w:rPr>
      <w:rFonts w:asciiTheme="majorHAnsi" w:eastAsiaTheme="majorEastAsia" w:hAnsiTheme="majorHAnsi" w:cstheme="majorBidi"/>
      <w:color w:val="0F4761" w:themeColor="accent1" w:themeShade="BF"/>
      <w:kern w:val="2"/>
      <w:sz w:val="32"/>
      <w:szCs w:val="32"/>
      <w:lang w:val="en-NZ" w:eastAsia="en-US"/>
      <w14:ligatures w14:val="standardContextual"/>
    </w:rPr>
  </w:style>
  <w:style w:type="paragraph" w:styleId="Heading3">
    <w:name w:val="heading 3"/>
    <w:basedOn w:val="Normal"/>
    <w:next w:val="Normal"/>
    <w:link w:val="Heading3Char"/>
    <w:uiPriority w:val="9"/>
    <w:semiHidden/>
    <w:unhideWhenUsed/>
    <w:qFormat/>
    <w:rsid w:val="00AD00A4"/>
    <w:pPr>
      <w:keepNext/>
      <w:keepLines/>
      <w:tabs>
        <w:tab w:val="clear" w:pos="10206"/>
      </w:tabs>
      <w:spacing w:before="160" w:after="80" w:line="278" w:lineRule="auto"/>
      <w:outlineLvl w:val="2"/>
    </w:pPr>
    <w:rPr>
      <w:rFonts w:asciiTheme="minorHAnsi" w:eastAsiaTheme="majorEastAsia" w:hAnsiTheme="minorHAnsi" w:cstheme="majorBidi"/>
      <w:color w:val="0F4761" w:themeColor="accent1" w:themeShade="BF"/>
      <w:kern w:val="2"/>
      <w:sz w:val="28"/>
      <w:szCs w:val="28"/>
      <w:lang w:val="en-NZ" w:eastAsia="en-US"/>
      <w14:ligatures w14:val="standardContextual"/>
    </w:rPr>
  </w:style>
  <w:style w:type="paragraph" w:styleId="Heading4">
    <w:name w:val="heading 4"/>
    <w:basedOn w:val="Normal"/>
    <w:next w:val="Normal"/>
    <w:link w:val="Heading4Char"/>
    <w:uiPriority w:val="9"/>
    <w:semiHidden/>
    <w:unhideWhenUsed/>
    <w:qFormat/>
    <w:rsid w:val="00AD00A4"/>
    <w:pPr>
      <w:keepNext/>
      <w:keepLines/>
      <w:tabs>
        <w:tab w:val="clear" w:pos="10206"/>
      </w:tab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NZ" w:eastAsia="en-US"/>
      <w14:ligatures w14:val="standardContextual"/>
    </w:rPr>
  </w:style>
  <w:style w:type="paragraph" w:styleId="Heading5">
    <w:name w:val="heading 5"/>
    <w:basedOn w:val="Normal"/>
    <w:next w:val="Normal"/>
    <w:link w:val="Heading5Char"/>
    <w:uiPriority w:val="9"/>
    <w:semiHidden/>
    <w:unhideWhenUsed/>
    <w:qFormat/>
    <w:rsid w:val="00AD00A4"/>
    <w:pPr>
      <w:keepNext/>
      <w:keepLines/>
      <w:tabs>
        <w:tab w:val="clear" w:pos="10206"/>
      </w:tabs>
      <w:spacing w:before="80" w:after="40" w:line="278" w:lineRule="auto"/>
      <w:outlineLvl w:val="4"/>
    </w:pPr>
    <w:rPr>
      <w:rFonts w:asciiTheme="minorHAnsi" w:eastAsiaTheme="majorEastAsia" w:hAnsiTheme="minorHAnsi" w:cstheme="majorBidi"/>
      <w:color w:val="0F4761" w:themeColor="accent1" w:themeShade="BF"/>
      <w:kern w:val="2"/>
      <w:sz w:val="24"/>
      <w:szCs w:val="24"/>
      <w:lang w:val="en-NZ" w:eastAsia="en-US"/>
      <w14:ligatures w14:val="standardContextual"/>
    </w:rPr>
  </w:style>
  <w:style w:type="paragraph" w:styleId="Heading6">
    <w:name w:val="heading 6"/>
    <w:basedOn w:val="Normal"/>
    <w:next w:val="Normal"/>
    <w:link w:val="Heading6Char"/>
    <w:uiPriority w:val="9"/>
    <w:semiHidden/>
    <w:unhideWhenUsed/>
    <w:qFormat/>
    <w:rsid w:val="00AD00A4"/>
    <w:pPr>
      <w:keepNext/>
      <w:keepLines/>
      <w:tabs>
        <w:tab w:val="clear" w:pos="10206"/>
      </w:tabs>
      <w:spacing w:before="40" w:line="278" w:lineRule="auto"/>
      <w:outlineLvl w:val="5"/>
    </w:pPr>
    <w:rPr>
      <w:rFonts w:asciiTheme="minorHAnsi" w:eastAsiaTheme="majorEastAsia" w:hAnsiTheme="minorHAnsi" w:cstheme="majorBidi"/>
      <w:i/>
      <w:iCs/>
      <w:color w:val="595959" w:themeColor="text1" w:themeTint="A6"/>
      <w:kern w:val="2"/>
      <w:sz w:val="24"/>
      <w:szCs w:val="24"/>
      <w:lang w:val="en-NZ" w:eastAsia="en-US"/>
      <w14:ligatures w14:val="standardContextual"/>
    </w:rPr>
  </w:style>
  <w:style w:type="paragraph" w:styleId="Heading7">
    <w:name w:val="heading 7"/>
    <w:basedOn w:val="Normal"/>
    <w:next w:val="Normal"/>
    <w:link w:val="Heading7Char"/>
    <w:uiPriority w:val="9"/>
    <w:semiHidden/>
    <w:unhideWhenUsed/>
    <w:qFormat/>
    <w:rsid w:val="00AD00A4"/>
    <w:pPr>
      <w:keepNext/>
      <w:keepLines/>
      <w:tabs>
        <w:tab w:val="clear" w:pos="10206"/>
      </w:tabs>
      <w:spacing w:before="40" w:line="278" w:lineRule="auto"/>
      <w:outlineLvl w:val="6"/>
    </w:pPr>
    <w:rPr>
      <w:rFonts w:asciiTheme="minorHAnsi" w:eastAsiaTheme="majorEastAsia" w:hAnsiTheme="minorHAnsi" w:cstheme="majorBidi"/>
      <w:color w:val="595959" w:themeColor="text1" w:themeTint="A6"/>
      <w:kern w:val="2"/>
      <w:sz w:val="24"/>
      <w:szCs w:val="24"/>
      <w:lang w:val="en-NZ" w:eastAsia="en-US"/>
      <w14:ligatures w14:val="standardContextual"/>
    </w:rPr>
  </w:style>
  <w:style w:type="paragraph" w:styleId="Heading8">
    <w:name w:val="heading 8"/>
    <w:basedOn w:val="Normal"/>
    <w:next w:val="Normal"/>
    <w:link w:val="Heading8Char"/>
    <w:uiPriority w:val="9"/>
    <w:semiHidden/>
    <w:unhideWhenUsed/>
    <w:qFormat/>
    <w:rsid w:val="00AD00A4"/>
    <w:pPr>
      <w:keepNext/>
      <w:keepLines/>
      <w:tabs>
        <w:tab w:val="clear" w:pos="10206"/>
      </w:tabs>
      <w:spacing w:line="278" w:lineRule="auto"/>
      <w:outlineLvl w:val="7"/>
    </w:pPr>
    <w:rPr>
      <w:rFonts w:asciiTheme="minorHAnsi" w:eastAsiaTheme="majorEastAsia" w:hAnsiTheme="minorHAnsi" w:cstheme="majorBidi"/>
      <w:i/>
      <w:iCs/>
      <w:color w:val="272727" w:themeColor="text1" w:themeTint="D8"/>
      <w:kern w:val="2"/>
      <w:sz w:val="24"/>
      <w:szCs w:val="24"/>
      <w:lang w:val="en-NZ" w:eastAsia="en-US"/>
      <w14:ligatures w14:val="standardContextual"/>
    </w:rPr>
  </w:style>
  <w:style w:type="paragraph" w:styleId="Heading9">
    <w:name w:val="heading 9"/>
    <w:basedOn w:val="Normal"/>
    <w:next w:val="Normal"/>
    <w:link w:val="Heading9Char"/>
    <w:uiPriority w:val="9"/>
    <w:semiHidden/>
    <w:unhideWhenUsed/>
    <w:qFormat/>
    <w:rsid w:val="00AD00A4"/>
    <w:pPr>
      <w:keepNext/>
      <w:keepLines/>
      <w:tabs>
        <w:tab w:val="clear" w:pos="10206"/>
      </w:tabs>
      <w:spacing w:line="278" w:lineRule="auto"/>
      <w:outlineLvl w:val="8"/>
    </w:pPr>
    <w:rPr>
      <w:rFonts w:asciiTheme="minorHAnsi" w:eastAsiaTheme="majorEastAsia" w:hAnsiTheme="minorHAnsi" w:cstheme="majorBidi"/>
      <w:color w:val="272727" w:themeColor="text1" w:themeTint="D8"/>
      <w:kern w:val="2"/>
      <w:sz w:val="24"/>
      <w:szCs w:val="24"/>
      <w:lang w:val="en-NZ"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0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00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00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00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00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00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0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0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0A4"/>
    <w:rPr>
      <w:rFonts w:eastAsiaTheme="majorEastAsia" w:cstheme="majorBidi"/>
      <w:color w:val="272727" w:themeColor="text1" w:themeTint="D8"/>
    </w:rPr>
  </w:style>
  <w:style w:type="paragraph" w:styleId="Title">
    <w:name w:val="Title"/>
    <w:basedOn w:val="Normal"/>
    <w:next w:val="Normal"/>
    <w:link w:val="TitleChar"/>
    <w:uiPriority w:val="10"/>
    <w:qFormat/>
    <w:rsid w:val="00AD00A4"/>
    <w:pPr>
      <w:tabs>
        <w:tab w:val="clear" w:pos="10206"/>
      </w:tabs>
      <w:spacing w:after="80" w:line="240" w:lineRule="auto"/>
      <w:contextualSpacing/>
    </w:pPr>
    <w:rPr>
      <w:rFonts w:asciiTheme="majorHAnsi" w:eastAsiaTheme="majorEastAsia" w:hAnsiTheme="majorHAnsi" w:cstheme="majorBidi"/>
      <w:color w:val="auto"/>
      <w:spacing w:val="-10"/>
      <w:kern w:val="28"/>
      <w:sz w:val="56"/>
      <w:szCs w:val="56"/>
      <w:lang w:val="en-NZ" w:eastAsia="en-US"/>
      <w14:ligatures w14:val="standardContextual"/>
    </w:rPr>
  </w:style>
  <w:style w:type="character" w:customStyle="1" w:styleId="TitleChar">
    <w:name w:val="Title Char"/>
    <w:basedOn w:val="DefaultParagraphFont"/>
    <w:link w:val="Title"/>
    <w:uiPriority w:val="10"/>
    <w:rsid w:val="00AD00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0A4"/>
    <w:pPr>
      <w:numPr>
        <w:ilvl w:val="1"/>
      </w:numPr>
      <w:tabs>
        <w:tab w:val="clear" w:pos="10206"/>
      </w:tabs>
      <w:spacing w:after="160" w:line="278" w:lineRule="auto"/>
    </w:pPr>
    <w:rPr>
      <w:rFonts w:asciiTheme="minorHAnsi" w:eastAsiaTheme="majorEastAsia" w:hAnsiTheme="minorHAnsi" w:cstheme="majorBidi"/>
      <w:color w:val="595959" w:themeColor="text1" w:themeTint="A6"/>
      <w:spacing w:val="15"/>
      <w:kern w:val="2"/>
      <w:sz w:val="28"/>
      <w:szCs w:val="28"/>
      <w:lang w:val="en-NZ" w:eastAsia="en-US"/>
      <w14:ligatures w14:val="standardContextual"/>
    </w:rPr>
  </w:style>
  <w:style w:type="character" w:customStyle="1" w:styleId="SubtitleChar">
    <w:name w:val="Subtitle Char"/>
    <w:basedOn w:val="DefaultParagraphFont"/>
    <w:link w:val="Subtitle"/>
    <w:uiPriority w:val="11"/>
    <w:rsid w:val="00AD00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0A4"/>
    <w:pPr>
      <w:tabs>
        <w:tab w:val="clear" w:pos="10206"/>
      </w:tabs>
      <w:spacing w:before="160" w:after="160" w:line="278" w:lineRule="auto"/>
      <w:jc w:val="center"/>
    </w:pPr>
    <w:rPr>
      <w:rFonts w:asciiTheme="minorHAnsi" w:hAnsiTheme="minorHAnsi" w:cstheme="minorBidi"/>
      <w:i/>
      <w:iCs/>
      <w:color w:val="404040" w:themeColor="text1" w:themeTint="BF"/>
      <w:kern w:val="2"/>
      <w:sz w:val="24"/>
      <w:szCs w:val="24"/>
      <w:lang w:val="en-NZ" w:eastAsia="en-US"/>
      <w14:ligatures w14:val="standardContextual"/>
    </w:rPr>
  </w:style>
  <w:style w:type="character" w:customStyle="1" w:styleId="QuoteChar">
    <w:name w:val="Quote Char"/>
    <w:basedOn w:val="DefaultParagraphFont"/>
    <w:link w:val="Quote"/>
    <w:uiPriority w:val="29"/>
    <w:rsid w:val="00AD00A4"/>
    <w:rPr>
      <w:i/>
      <w:iCs/>
      <w:color w:val="404040" w:themeColor="text1" w:themeTint="BF"/>
    </w:rPr>
  </w:style>
  <w:style w:type="paragraph" w:styleId="ListParagraph">
    <w:name w:val="List Paragraph"/>
    <w:basedOn w:val="Normal"/>
    <w:uiPriority w:val="34"/>
    <w:qFormat/>
    <w:rsid w:val="00AD00A4"/>
    <w:pPr>
      <w:tabs>
        <w:tab w:val="clear" w:pos="10206"/>
      </w:tabs>
      <w:spacing w:after="160" w:line="278" w:lineRule="auto"/>
      <w:ind w:left="720"/>
      <w:contextualSpacing/>
    </w:pPr>
    <w:rPr>
      <w:rFonts w:asciiTheme="minorHAnsi" w:hAnsiTheme="minorHAnsi" w:cstheme="minorBidi"/>
      <w:color w:val="auto"/>
      <w:kern w:val="2"/>
      <w:sz w:val="24"/>
      <w:szCs w:val="24"/>
      <w:lang w:val="en-NZ" w:eastAsia="en-US"/>
      <w14:ligatures w14:val="standardContextual"/>
    </w:rPr>
  </w:style>
  <w:style w:type="character" w:styleId="IntenseEmphasis">
    <w:name w:val="Intense Emphasis"/>
    <w:basedOn w:val="DefaultParagraphFont"/>
    <w:uiPriority w:val="21"/>
    <w:qFormat/>
    <w:rsid w:val="00AD00A4"/>
    <w:rPr>
      <w:i/>
      <w:iCs/>
      <w:color w:val="0F4761" w:themeColor="accent1" w:themeShade="BF"/>
    </w:rPr>
  </w:style>
  <w:style w:type="paragraph" w:styleId="IntenseQuote">
    <w:name w:val="Intense Quote"/>
    <w:basedOn w:val="Normal"/>
    <w:next w:val="Normal"/>
    <w:link w:val="IntenseQuoteChar"/>
    <w:uiPriority w:val="30"/>
    <w:qFormat/>
    <w:rsid w:val="00AD00A4"/>
    <w:pPr>
      <w:pBdr>
        <w:top w:val="single" w:sz="4" w:space="10" w:color="0F4761" w:themeColor="accent1" w:themeShade="BF"/>
        <w:bottom w:val="single" w:sz="4" w:space="10" w:color="0F4761" w:themeColor="accent1" w:themeShade="BF"/>
      </w:pBdr>
      <w:tabs>
        <w:tab w:val="clear" w:pos="10206"/>
      </w:tabs>
      <w:spacing w:before="360" w:after="360" w:line="278" w:lineRule="auto"/>
      <w:ind w:left="864" w:right="864"/>
      <w:jc w:val="center"/>
    </w:pPr>
    <w:rPr>
      <w:rFonts w:asciiTheme="minorHAnsi" w:hAnsiTheme="minorHAnsi" w:cstheme="minorBidi"/>
      <w:i/>
      <w:iCs/>
      <w:color w:val="0F4761" w:themeColor="accent1" w:themeShade="BF"/>
      <w:kern w:val="2"/>
      <w:sz w:val="24"/>
      <w:szCs w:val="24"/>
      <w:lang w:val="en-NZ" w:eastAsia="en-US"/>
      <w14:ligatures w14:val="standardContextual"/>
    </w:rPr>
  </w:style>
  <w:style w:type="character" w:customStyle="1" w:styleId="IntenseQuoteChar">
    <w:name w:val="Intense Quote Char"/>
    <w:basedOn w:val="DefaultParagraphFont"/>
    <w:link w:val="IntenseQuote"/>
    <w:uiPriority w:val="30"/>
    <w:rsid w:val="00AD00A4"/>
    <w:rPr>
      <w:i/>
      <w:iCs/>
      <w:color w:val="0F4761" w:themeColor="accent1" w:themeShade="BF"/>
    </w:rPr>
  </w:style>
  <w:style w:type="character" w:styleId="IntenseReference">
    <w:name w:val="Intense Reference"/>
    <w:basedOn w:val="DefaultParagraphFont"/>
    <w:uiPriority w:val="32"/>
    <w:qFormat/>
    <w:rsid w:val="00AD00A4"/>
    <w:rPr>
      <w:b/>
      <w:bCs/>
      <w:smallCaps/>
      <w:color w:val="0F4761" w:themeColor="accent1" w:themeShade="BF"/>
      <w:spacing w:val="5"/>
    </w:rPr>
  </w:style>
  <w:style w:type="table" w:styleId="TableGrid">
    <w:name w:val="Table Grid"/>
    <w:basedOn w:val="TableNormal"/>
    <w:uiPriority w:val="59"/>
    <w:rsid w:val="00AD00A4"/>
    <w:pPr>
      <w:spacing w:before="120" w:after="120" w:line="240" w:lineRule="auto"/>
      <w:ind w:left="115" w:right="115"/>
    </w:pPr>
    <w:rPr>
      <w:rFonts w:ascii="Calibri" w:hAnsi="Calibri" w:cs="Arial (Headings CS)"/>
      <w:color w:val="000000" w:themeColor="text1"/>
      <w:kern w:val="0"/>
      <w:sz w:val="21"/>
      <w:szCs w:val="21"/>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styleId="Hyperlink">
    <w:name w:val="Hyperlink"/>
    <w:basedOn w:val="DefaultParagraphFont"/>
    <w:uiPriority w:val="99"/>
    <w:unhideWhenUsed/>
    <w:rsid w:val="00AD00A4"/>
    <w:rPr>
      <w:color w:val="DC3F35"/>
      <w:u w:val="single"/>
    </w:rPr>
  </w:style>
  <w:style w:type="character" w:styleId="UnresolvedMention">
    <w:name w:val="Unresolved Mention"/>
    <w:basedOn w:val="DefaultParagraphFont"/>
    <w:uiPriority w:val="99"/>
    <w:semiHidden/>
    <w:unhideWhenUsed/>
    <w:rsid w:val="00B27C7D"/>
    <w:rPr>
      <w:color w:val="605E5C"/>
      <w:shd w:val="clear" w:color="auto" w:fill="E1DFDD"/>
    </w:rPr>
  </w:style>
  <w:style w:type="character" w:styleId="FollowedHyperlink">
    <w:name w:val="FollowedHyperlink"/>
    <w:basedOn w:val="DefaultParagraphFont"/>
    <w:uiPriority w:val="99"/>
    <w:semiHidden/>
    <w:unhideWhenUsed/>
    <w:rsid w:val="0010430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x.com.au/markets/clearing-and-settlement-services/t1-settlement-cycle" TargetMode="External"/><Relationship Id="rId13" Type="http://schemas.openxmlformats.org/officeDocument/2006/relationships/hyperlink" Target="https://www.nccpl.com.pk/transition-to-t1-settlement-cycle" TargetMode="External"/><Relationship Id="rId18" Type="http://schemas.openxmlformats.org/officeDocument/2006/relationships/hyperlink" Target="https://www.asifma.org/wp-content/uploads/2025/12/t1-report-press-release.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oleObject" Target="embeddings/oleObject1.bin"/><Relationship Id="rId7" Type="http://schemas.openxmlformats.org/officeDocument/2006/relationships/hyperlink" Target="https://www.business.hsbc.com/en-gb/financial-regulations/tplus1-settlement-cycle" TargetMode="External"/><Relationship Id="rId12" Type="http://schemas.openxmlformats.org/officeDocument/2006/relationships/hyperlink" Target="https://www.broadridge.com/resource/capital-markets/t-plus-1-in-japan-forging-a-new-industry-model" TargetMode="External"/><Relationship Id="rId17" Type="http://schemas.openxmlformats.org/officeDocument/2006/relationships/hyperlink" Target="https://www.set.or.th/en/hom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wse.com.tw/en/index.html" TargetMode="External"/><Relationship Id="rId20" Type="http://schemas.openxmlformats.org/officeDocument/2006/relationships/image" Target="media/image1.emf"/><Relationship Id="rId1" Type="http://schemas.openxmlformats.org/officeDocument/2006/relationships/numbering" Target="numbering.xml"/><Relationship Id="rId6" Type="http://schemas.openxmlformats.org/officeDocument/2006/relationships/hyperlink" Target="https://www.asx.com.au/content/dam/asx/markets/clearing-and-settlement-services/t1-whitepaper-042024.pdf" TargetMode="External"/><Relationship Id="rId11" Type="http://schemas.openxmlformats.org/officeDocument/2006/relationships/hyperlink" Target="https://www.hkex.com.hk/News/Market-Communications/2026/260417news?sc_lang=en" TargetMode="External"/><Relationship Id="rId24" Type="http://schemas.openxmlformats.org/officeDocument/2006/relationships/hyperlink" Target="https://www.dtcc.com/dtcc-connection/articles/2026/april/23/t1-in-asiapacific-preparing-posttrade-operations-for-whats-ahead" TargetMode="External"/><Relationship Id="rId5" Type="http://schemas.openxmlformats.org/officeDocument/2006/relationships/hyperlink" Target="https://acsa.com.au/resource/resmgr/files/acsa_t1_position_paper.pdf" TargetMode="External"/><Relationship Id="rId15" Type="http://schemas.openxmlformats.org/officeDocument/2006/relationships/hyperlink" Target="https://biz.chosun.com/en/en-finance/2026/06/24/IQ6W74NEB5H7JCSNVBX57AP24Q/" TargetMode="External"/><Relationship Id="rId23" Type="http://schemas.openxmlformats.org/officeDocument/2006/relationships/hyperlink" Target="https://www.business.hsbc.com/en-gb/financial-regulations/tplus1-settlement-cycle" TargetMode="External"/><Relationship Id="rId10" Type="http://schemas.openxmlformats.org/officeDocument/2006/relationships/hyperlink" Target="https://www.hkex.com.hk/-/media/HKEX-Market/News/News-Release/2025/250716news/HKEX-Accelerated-Settlement-Paper-2025-v10-EN-(cover).pdf" TargetMode="External"/><Relationship Id="rId19" Type="http://schemas.openxmlformats.org/officeDocument/2006/relationships/hyperlink" Target="https://www.asifma.org/wp-content/uploads/2025/12/asifma_t1-whitepaper_v1.5-final.pdf" TargetMode="External"/><Relationship Id="rId4" Type="http://schemas.openxmlformats.org/officeDocument/2006/relationships/webSettings" Target="webSettings.xml"/><Relationship Id="rId9" Type="http://schemas.openxmlformats.org/officeDocument/2006/relationships/hyperlink" Target="http://english.sse.com.cn/start/settlement/clearing/" TargetMode="External"/><Relationship Id="rId14" Type="http://schemas.openxmlformats.org/officeDocument/2006/relationships/hyperlink" Target="https://www.psx.com.pk/psx/files/?file=269989-1.pdf" TargetMode="External"/><Relationship Id="rId22" Type="http://schemas.openxmlformats.org/officeDocument/2006/relationships/hyperlink" Target="https://equilend.com/insight/the-quiet-countdown-to-t1-settlement-in-a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397</TotalTime>
  <Pages>4</Pages>
  <Words>1205</Words>
  <Characters>6304</Characters>
  <Application>Microsoft Office Word</Application>
  <DocSecurity>0</DocSecurity>
  <Lines>146</Lines>
  <Paragraphs>107</Paragraphs>
  <ScaleCrop>false</ScaleCrop>
  <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Huxford</dc:creator>
  <cp:keywords/>
  <dc:description/>
  <cp:lastModifiedBy>Julie Huxford</cp:lastModifiedBy>
  <cp:revision>43</cp:revision>
  <cp:lastPrinted>2026-03-16T14:30:00Z</cp:lastPrinted>
  <dcterms:created xsi:type="dcterms:W3CDTF">2026-07-14T06:20:00Z</dcterms:created>
  <dcterms:modified xsi:type="dcterms:W3CDTF">2026-07-16T05:12:00Z</dcterms:modified>
</cp:coreProperties>
</file>