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6F233ECB" w14:textId="77777777" w:rsidR="00290644" w:rsidRDefault="00290644"/>
    <w:p w14:paraId="71E99006" w14:textId="77777777" w:rsidR="00290644" w:rsidRDefault="00290644"/>
    <w:p w14:paraId="4D2F543F" w14:textId="77777777" w:rsidR="00290644" w:rsidRDefault="00290644"/>
    <w:p w14:paraId="4F46E136" w14:textId="77777777" w:rsidR="00875D2A" w:rsidRDefault="00875D2A"/>
    <w:p w14:paraId="00C1DEFB" w14:textId="77777777" w:rsidR="00875D2A" w:rsidRDefault="00875D2A"/>
    <w:p w14:paraId="777A8F21" w14:textId="77777777" w:rsidR="00290644" w:rsidRPr="002870F8" w:rsidRDefault="00290644">
      <w:pPr>
        <w:rPr>
          <w:color w:val="1D1F47"/>
          <w:sz w:val="96"/>
          <w:szCs w:val="96"/>
        </w:rPr>
      </w:pPr>
      <w:r w:rsidRPr="002870F8">
        <w:rPr>
          <w:color w:val="1D1F47"/>
          <w:sz w:val="96"/>
          <w:szCs w:val="96"/>
        </w:rPr>
        <w:t xml:space="preserve">ISSA </w:t>
      </w:r>
    </w:p>
    <w:p w14:paraId="5A5021BB" w14:textId="77777777" w:rsidR="00290644" w:rsidRPr="00875D2A" w:rsidRDefault="00290644" w:rsidP="00875D2A">
      <w:pPr>
        <w:rPr>
          <w:color w:val="1D1F47"/>
        </w:rPr>
      </w:pPr>
    </w:p>
    <w:p w14:paraId="76623EA6" w14:textId="40A79136" w:rsidR="00290644" w:rsidRPr="00875D2A" w:rsidRDefault="00290644">
      <w:pPr>
        <w:rPr>
          <w:color w:val="1D1F47"/>
          <w:sz w:val="52"/>
          <w:szCs w:val="52"/>
        </w:rPr>
      </w:pPr>
      <w:r w:rsidRPr="00875D2A">
        <w:rPr>
          <w:color w:val="1D1F47"/>
          <w:sz w:val="52"/>
          <w:szCs w:val="52"/>
        </w:rPr>
        <w:t>AI + EMERGING TECHNOLOGIES WORKING GROUP</w:t>
      </w:r>
    </w:p>
    <w:p w14:paraId="15C46616" w14:textId="77777777" w:rsidR="00290644" w:rsidRPr="00875D2A" w:rsidRDefault="00290644" w:rsidP="00875D2A">
      <w:pPr>
        <w:rPr>
          <w:color w:val="1D1F47"/>
        </w:rPr>
      </w:pPr>
    </w:p>
    <w:p w14:paraId="72BC77A0" w14:textId="678BAA4E" w:rsidR="00290644" w:rsidRPr="00875D2A" w:rsidRDefault="00290644">
      <w:pPr>
        <w:rPr>
          <w:i/>
          <w:iCs/>
          <w:color w:val="1D1F47"/>
          <w:sz w:val="52"/>
          <w:szCs w:val="52"/>
        </w:rPr>
      </w:pPr>
      <w:r w:rsidRPr="00875D2A">
        <w:rPr>
          <w:i/>
          <w:iCs/>
          <w:color w:val="1D1F47"/>
          <w:sz w:val="52"/>
          <w:szCs w:val="52"/>
        </w:rPr>
        <w:t>New topics for discussion [draft]</w:t>
      </w:r>
    </w:p>
    <w:p w14:paraId="50C6E088" w14:textId="77777777" w:rsidR="00290644" w:rsidRDefault="00290644"/>
    <w:p w14:paraId="49124987" w14:textId="77777777" w:rsidR="00875D2A" w:rsidRDefault="00875D2A"/>
    <w:p w14:paraId="33ADB8D2" w14:textId="77777777" w:rsidR="00875D2A" w:rsidRDefault="00875D2A"/>
    <w:p w14:paraId="28813D96" w14:textId="77777777" w:rsidR="00875D2A" w:rsidRDefault="00875D2A"/>
    <w:p w14:paraId="6F1CE0BB" w14:textId="77777777" w:rsidR="00875D2A" w:rsidRDefault="00875D2A"/>
    <w:p w14:paraId="3EF38D80" w14:textId="77777777" w:rsidR="00875D2A" w:rsidRDefault="00875D2A"/>
    <w:p w14:paraId="66C7063D" w14:textId="77777777" w:rsidR="00875D2A" w:rsidRDefault="00875D2A"/>
    <w:tbl>
      <w:tblPr>
        <w:tblStyle w:val="TableGridLight"/>
        <w:tblW w:w="0" w:type="auto"/>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Look w:val="04A0" w:firstRow="1" w:lastRow="0" w:firstColumn="1" w:lastColumn="0" w:noHBand="0" w:noVBand="1"/>
      </w:tblPr>
      <w:tblGrid>
        <w:gridCol w:w="1696"/>
        <w:gridCol w:w="7320"/>
      </w:tblGrid>
      <w:tr w:rsidR="003C3010" w:rsidRPr="00F041D3" w14:paraId="6F20403A" w14:textId="77777777" w:rsidTr="00F041D3">
        <w:tc>
          <w:tcPr>
            <w:tcW w:w="1696" w:type="dxa"/>
          </w:tcPr>
          <w:p w14:paraId="1E0918DA" w14:textId="19941227" w:rsidR="003C3010" w:rsidRPr="00F041D3" w:rsidRDefault="003C3010" w:rsidP="00875D2A">
            <w:pPr>
              <w:jc w:val="right"/>
              <w:rPr>
                <w:color w:val="2C8082"/>
                <w:sz w:val="20"/>
                <w:szCs w:val="20"/>
              </w:rPr>
            </w:pPr>
            <w:r w:rsidRPr="00F041D3">
              <w:rPr>
                <w:color w:val="2C8082"/>
                <w:sz w:val="20"/>
                <w:szCs w:val="20"/>
              </w:rPr>
              <w:t>Draft Date</w:t>
            </w:r>
          </w:p>
        </w:tc>
        <w:tc>
          <w:tcPr>
            <w:tcW w:w="7320" w:type="dxa"/>
          </w:tcPr>
          <w:p w14:paraId="5E0B35EA" w14:textId="093F3214" w:rsidR="003C3010" w:rsidRPr="00F041D3" w:rsidRDefault="003C3010">
            <w:pPr>
              <w:rPr>
                <w:color w:val="2C8082"/>
                <w:sz w:val="20"/>
                <w:szCs w:val="20"/>
              </w:rPr>
            </w:pPr>
            <w:r w:rsidRPr="00F041D3">
              <w:rPr>
                <w:color w:val="2C8082"/>
                <w:sz w:val="20"/>
                <w:szCs w:val="20"/>
              </w:rPr>
              <w:t>9</w:t>
            </w:r>
            <w:r w:rsidRPr="00F041D3">
              <w:rPr>
                <w:color w:val="2C8082"/>
                <w:sz w:val="20"/>
                <w:szCs w:val="20"/>
                <w:vertAlign w:val="superscript"/>
              </w:rPr>
              <w:t>th</w:t>
            </w:r>
            <w:r w:rsidRPr="00F041D3">
              <w:rPr>
                <w:color w:val="2C8082"/>
                <w:sz w:val="20"/>
                <w:szCs w:val="20"/>
              </w:rPr>
              <w:t xml:space="preserve"> July 2026</w:t>
            </w:r>
          </w:p>
        </w:tc>
      </w:tr>
      <w:tr w:rsidR="003C3010" w:rsidRPr="00F041D3" w14:paraId="750595BB" w14:textId="77777777" w:rsidTr="00F041D3">
        <w:tc>
          <w:tcPr>
            <w:tcW w:w="1696" w:type="dxa"/>
          </w:tcPr>
          <w:p w14:paraId="434CD254" w14:textId="2BBEB2B0" w:rsidR="003C3010" w:rsidRPr="00F041D3" w:rsidRDefault="00C94F76" w:rsidP="00875D2A">
            <w:pPr>
              <w:jc w:val="right"/>
              <w:rPr>
                <w:color w:val="2C8082"/>
                <w:sz w:val="20"/>
                <w:szCs w:val="20"/>
              </w:rPr>
            </w:pPr>
            <w:r w:rsidRPr="00F041D3">
              <w:rPr>
                <w:color w:val="2C8082"/>
                <w:sz w:val="20"/>
                <w:szCs w:val="20"/>
              </w:rPr>
              <w:t>Author</w:t>
            </w:r>
          </w:p>
        </w:tc>
        <w:tc>
          <w:tcPr>
            <w:tcW w:w="7320" w:type="dxa"/>
          </w:tcPr>
          <w:p w14:paraId="752DB1A9" w14:textId="2690D5CD" w:rsidR="003C3010" w:rsidRPr="00F041D3" w:rsidRDefault="00C94F76">
            <w:pPr>
              <w:rPr>
                <w:color w:val="2C8082"/>
                <w:sz w:val="20"/>
                <w:szCs w:val="20"/>
              </w:rPr>
            </w:pPr>
            <w:r w:rsidRPr="00F041D3">
              <w:rPr>
                <w:color w:val="2C8082"/>
                <w:sz w:val="20"/>
                <w:szCs w:val="20"/>
              </w:rPr>
              <w:t>Vic A</w:t>
            </w:r>
          </w:p>
        </w:tc>
      </w:tr>
      <w:tr w:rsidR="003C3010" w:rsidRPr="00F041D3" w14:paraId="0D322CEB" w14:textId="77777777" w:rsidTr="00F041D3">
        <w:tc>
          <w:tcPr>
            <w:tcW w:w="1696" w:type="dxa"/>
          </w:tcPr>
          <w:p w14:paraId="724E1227" w14:textId="59FE8A37" w:rsidR="003C3010" w:rsidRPr="00F041D3" w:rsidRDefault="00C94F76" w:rsidP="00875D2A">
            <w:pPr>
              <w:jc w:val="right"/>
              <w:rPr>
                <w:color w:val="2C8082"/>
                <w:sz w:val="20"/>
                <w:szCs w:val="20"/>
              </w:rPr>
            </w:pPr>
            <w:r w:rsidRPr="00F041D3">
              <w:rPr>
                <w:color w:val="2C8082"/>
                <w:sz w:val="20"/>
                <w:szCs w:val="20"/>
              </w:rPr>
              <w:t>W/G Co-Chairs</w:t>
            </w:r>
          </w:p>
        </w:tc>
        <w:tc>
          <w:tcPr>
            <w:tcW w:w="7320" w:type="dxa"/>
          </w:tcPr>
          <w:p w14:paraId="381B5FAC" w14:textId="11EEC02A" w:rsidR="003C3010" w:rsidRPr="00F041D3" w:rsidRDefault="00C94F76">
            <w:pPr>
              <w:rPr>
                <w:color w:val="2C8082"/>
                <w:sz w:val="20"/>
                <w:szCs w:val="20"/>
              </w:rPr>
            </w:pPr>
            <w:r w:rsidRPr="00F041D3">
              <w:rPr>
                <w:color w:val="2C8082"/>
                <w:sz w:val="20"/>
                <w:szCs w:val="20"/>
              </w:rPr>
              <w:t>Satish M</w:t>
            </w:r>
          </w:p>
        </w:tc>
      </w:tr>
      <w:tr w:rsidR="003C3010" w:rsidRPr="00F041D3" w14:paraId="6B51DE2C" w14:textId="77777777" w:rsidTr="00F041D3">
        <w:tc>
          <w:tcPr>
            <w:tcW w:w="1696" w:type="dxa"/>
          </w:tcPr>
          <w:p w14:paraId="58F1E845" w14:textId="77777777" w:rsidR="003C3010" w:rsidRPr="00F041D3" w:rsidRDefault="003C3010" w:rsidP="00875D2A">
            <w:pPr>
              <w:jc w:val="right"/>
              <w:rPr>
                <w:color w:val="2C8082"/>
                <w:sz w:val="20"/>
                <w:szCs w:val="20"/>
              </w:rPr>
            </w:pPr>
          </w:p>
        </w:tc>
        <w:tc>
          <w:tcPr>
            <w:tcW w:w="7320" w:type="dxa"/>
          </w:tcPr>
          <w:p w14:paraId="5368820C" w14:textId="249111A7" w:rsidR="003C3010" w:rsidRPr="00F041D3" w:rsidRDefault="00C94F76">
            <w:pPr>
              <w:rPr>
                <w:color w:val="2C8082"/>
                <w:sz w:val="20"/>
                <w:szCs w:val="20"/>
              </w:rPr>
            </w:pPr>
            <w:r w:rsidRPr="00F041D3">
              <w:rPr>
                <w:color w:val="2C8082"/>
                <w:sz w:val="20"/>
                <w:szCs w:val="20"/>
              </w:rPr>
              <w:t>Joseph L</w:t>
            </w:r>
          </w:p>
        </w:tc>
      </w:tr>
      <w:tr w:rsidR="003C3010" w:rsidRPr="00F041D3" w14:paraId="3AEDDEFE" w14:textId="77777777" w:rsidTr="00F041D3">
        <w:tc>
          <w:tcPr>
            <w:tcW w:w="1696" w:type="dxa"/>
          </w:tcPr>
          <w:p w14:paraId="3EC539B1" w14:textId="77777777" w:rsidR="003C3010" w:rsidRPr="00F041D3" w:rsidRDefault="003C3010" w:rsidP="00875D2A">
            <w:pPr>
              <w:jc w:val="right"/>
              <w:rPr>
                <w:color w:val="2C8082"/>
                <w:sz w:val="20"/>
                <w:szCs w:val="20"/>
              </w:rPr>
            </w:pPr>
          </w:p>
        </w:tc>
        <w:tc>
          <w:tcPr>
            <w:tcW w:w="7320" w:type="dxa"/>
          </w:tcPr>
          <w:p w14:paraId="2F4310F2" w14:textId="6607F41B" w:rsidR="003C3010" w:rsidRPr="00F041D3" w:rsidRDefault="00C94F76">
            <w:pPr>
              <w:rPr>
                <w:color w:val="2C8082"/>
                <w:sz w:val="20"/>
                <w:szCs w:val="20"/>
              </w:rPr>
            </w:pPr>
            <w:r w:rsidRPr="00F041D3">
              <w:rPr>
                <w:color w:val="2C8082"/>
                <w:sz w:val="20"/>
                <w:szCs w:val="20"/>
              </w:rPr>
              <w:t>Vic A</w:t>
            </w:r>
          </w:p>
        </w:tc>
      </w:tr>
      <w:tr w:rsidR="00C94F76" w:rsidRPr="00F041D3" w14:paraId="1C93FC24" w14:textId="77777777" w:rsidTr="00F041D3">
        <w:tc>
          <w:tcPr>
            <w:tcW w:w="1696" w:type="dxa"/>
          </w:tcPr>
          <w:p w14:paraId="2C59D49A" w14:textId="77777777" w:rsidR="00C94F76" w:rsidRPr="00F041D3" w:rsidRDefault="00C94F76">
            <w:pPr>
              <w:rPr>
                <w:sz w:val="20"/>
                <w:szCs w:val="20"/>
              </w:rPr>
            </w:pPr>
          </w:p>
        </w:tc>
        <w:tc>
          <w:tcPr>
            <w:tcW w:w="7320" w:type="dxa"/>
          </w:tcPr>
          <w:p w14:paraId="0D3DF2B0" w14:textId="77777777" w:rsidR="00C94F76" w:rsidRPr="00F041D3" w:rsidRDefault="00C94F76">
            <w:pPr>
              <w:rPr>
                <w:sz w:val="20"/>
                <w:szCs w:val="20"/>
              </w:rPr>
            </w:pPr>
          </w:p>
        </w:tc>
      </w:tr>
    </w:tbl>
    <w:p w14:paraId="399B32A8" w14:textId="19018E3C" w:rsidR="00290644" w:rsidRDefault="00290644"/>
    <w:p w14:paraId="45DDA122" w14:textId="7AB8BBBB" w:rsidR="00875D2A" w:rsidRDefault="00875D2A">
      <w:r>
        <w:br w:type="page"/>
      </w:r>
    </w:p>
    <w:p w14:paraId="1C06FDD5" w14:textId="44FB6124" w:rsidR="00290644" w:rsidRPr="00E86BA8" w:rsidRDefault="001B40D7" w:rsidP="00E86BA8">
      <w:pPr>
        <w:pStyle w:val="Heading1"/>
        <w:rPr>
          <w:color w:val="1D1F47"/>
        </w:rPr>
      </w:pPr>
      <w:r>
        <w:rPr>
          <w:color w:val="1D1F47"/>
        </w:rPr>
        <w:lastRenderedPageBreak/>
        <w:t>Topics</w:t>
      </w:r>
    </w:p>
    <w:p w14:paraId="6DE773A6" w14:textId="3508D923" w:rsidR="00290644" w:rsidRDefault="00820379">
      <w:r>
        <w:t xml:space="preserve">This document is as a working draft for discussion for the ISSA AI and Emerging Technologies working group, intended as a </w:t>
      </w:r>
      <w:r w:rsidR="00EF73EE">
        <w:t xml:space="preserve">discussion point for the next steps of the group. </w:t>
      </w:r>
    </w:p>
    <w:p w14:paraId="697594D8" w14:textId="252461E1" w:rsidR="00290644" w:rsidRDefault="00EF73EE">
      <w:r>
        <w:t xml:space="preserve">We have attempted to categorise the discussion points as next steps to the current work on the AI survey and the </w:t>
      </w:r>
      <w:r w:rsidR="00F63576">
        <w:t xml:space="preserve">big tech white paper, providing a natural continuation onto future emerging </w:t>
      </w:r>
      <w:r w:rsidR="00523310">
        <w:t>trends that could impact securities services firms and wider financial services.</w:t>
      </w:r>
    </w:p>
    <w:p w14:paraId="77BEA3D7" w14:textId="6899A5AC" w:rsidR="00AB78FE" w:rsidRDefault="00321F17">
      <w:r>
        <w:t>Below is a table of ideas</w:t>
      </w:r>
      <w:r w:rsidR="004A53E0">
        <w:t xml:space="preserve"> and descriptions, followe</w:t>
      </w:r>
      <w:r w:rsidR="00D260C8">
        <w:t>d by a s</w:t>
      </w:r>
      <w:r w:rsidR="00095EAC">
        <w:t>hort glossary</w:t>
      </w:r>
      <w:r w:rsidR="00492ACC">
        <w:t>.</w:t>
      </w:r>
    </w:p>
    <w:tbl>
      <w:tblPr>
        <w:tblW w:w="10206" w:type="dxa"/>
        <w:tblInd w:w="-572" w:type="dxa"/>
        <w:tblCellMar>
          <w:left w:w="0" w:type="dxa"/>
          <w:right w:w="0" w:type="dxa"/>
        </w:tblCellMar>
        <w:tblLook w:val="04A0" w:firstRow="1" w:lastRow="0" w:firstColumn="1" w:lastColumn="0" w:noHBand="0" w:noVBand="1"/>
      </w:tblPr>
      <w:tblGrid>
        <w:gridCol w:w="1644"/>
        <w:gridCol w:w="2892"/>
        <w:gridCol w:w="2694"/>
        <w:gridCol w:w="2976"/>
      </w:tblGrid>
      <w:tr w:rsidR="00D70C1A" w14:paraId="70934BF1" w14:textId="77777777" w:rsidTr="003575C5">
        <w:tc>
          <w:tcPr>
            <w:tcW w:w="1644" w:type="dxa"/>
            <w:tcBorders>
              <w:top w:val="single" w:sz="8" w:space="0" w:color="auto"/>
              <w:left w:val="single" w:sz="8" w:space="0" w:color="auto"/>
              <w:bottom w:val="single" w:sz="8" w:space="0" w:color="auto"/>
              <w:right w:val="single" w:sz="8" w:space="0" w:color="auto"/>
            </w:tcBorders>
            <w:shd w:val="clear" w:color="auto" w:fill="2C8082"/>
            <w:tcMar>
              <w:top w:w="28" w:type="dxa"/>
              <w:left w:w="28" w:type="dxa"/>
              <w:bottom w:w="28" w:type="dxa"/>
              <w:right w:w="28" w:type="dxa"/>
            </w:tcMar>
            <w:hideMark/>
          </w:tcPr>
          <w:p w14:paraId="63D43C10" w14:textId="77777777" w:rsidR="00D70C1A" w:rsidRPr="003575C5" w:rsidRDefault="00D70C1A">
            <w:pPr>
              <w:spacing w:after="0"/>
              <w:rPr>
                <w:sz w:val="22"/>
                <w:szCs w:val="22"/>
                <w:lang w:eastAsia="en-GB"/>
              </w:rPr>
            </w:pPr>
            <w:r w:rsidRPr="003575C5">
              <w:rPr>
                <w:b/>
                <w:bCs/>
                <w:color w:val="FFFFFF"/>
                <w:sz w:val="22"/>
                <w:szCs w:val="22"/>
              </w:rPr>
              <w:t>Title</w:t>
            </w:r>
          </w:p>
        </w:tc>
        <w:tc>
          <w:tcPr>
            <w:tcW w:w="2892" w:type="dxa"/>
            <w:tcBorders>
              <w:top w:val="single" w:sz="8" w:space="0" w:color="auto"/>
              <w:left w:val="nil"/>
              <w:bottom w:val="single" w:sz="8" w:space="0" w:color="auto"/>
              <w:right w:val="single" w:sz="8" w:space="0" w:color="auto"/>
            </w:tcBorders>
            <w:shd w:val="clear" w:color="auto" w:fill="2C8082"/>
            <w:tcMar>
              <w:top w:w="28" w:type="dxa"/>
              <w:left w:w="28" w:type="dxa"/>
              <w:bottom w:w="28" w:type="dxa"/>
              <w:right w:w="28" w:type="dxa"/>
            </w:tcMar>
            <w:hideMark/>
          </w:tcPr>
          <w:p w14:paraId="60112E6B" w14:textId="77777777" w:rsidR="00D70C1A" w:rsidRPr="003575C5" w:rsidRDefault="00D70C1A">
            <w:pPr>
              <w:spacing w:after="0"/>
              <w:rPr>
                <w:sz w:val="22"/>
                <w:szCs w:val="22"/>
              </w:rPr>
            </w:pPr>
            <w:r w:rsidRPr="003575C5">
              <w:rPr>
                <w:b/>
                <w:bCs/>
                <w:color w:val="FFFFFF"/>
                <w:sz w:val="22"/>
                <w:szCs w:val="22"/>
              </w:rPr>
              <w:t>Description</w:t>
            </w:r>
          </w:p>
        </w:tc>
        <w:tc>
          <w:tcPr>
            <w:tcW w:w="2694" w:type="dxa"/>
            <w:tcBorders>
              <w:top w:val="single" w:sz="8" w:space="0" w:color="auto"/>
              <w:left w:val="nil"/>
              <w:bottom w:val="single" w:sz="8" w:space="0" w:color="auto"/>
              <w:right w:val="single" w:sz="8" w:space="0" w:color="auto"/>
            </w:tcBorders>
            <w:shd w:val="clear" w:color="auto" w:fill="2C8082"/>
            <w:tcMar>
              <w:top w:w="28" w:type="dxa"/>
              <w:left w:w="28" w:type="dxa"/>
              <w:bottom w:w="28" w:type="dxa"/>
              <w:right w:w="28" w:type="dxa"/>
            </w:tcMar>
            <w:hideMark/>
          </w:tcPr>
          <w:p w14:paraId="0E2E9B56" w14:textId="77777777" w:rsidR="00D70C1A" w:rsidRPr="003575C5" w:rsidRDefault="00D70C1A">
            <w:pPr>
              <w:spacing w:after="0"/>
              <w:rPr>
                <w:sz w:val="22"/>
                <w:szCs w:val="22"/>
              </w:rPr>
            </w:pPr>
            <w:r w:rsidRPr="003575C5">
              <w:rPr>
                <w:b/>
                <w:bCs/>
                <w:color w:val="FFFFFF"/>
                <w:sz w:val="22"/>
                <w:szCs w:val="22"/>
              </w:rPr>
              <w:t>Relevance to our Working Group</w:t>
            </w:r>
          </w:p>
        </w:tc>
        <w:tc>
          <w:tcPr>
            <w:tcW w:w="2976" w:type="dxa"/>
            <w:tcBorders>
              <w:top w:val="single" w:sz="8" w:space="0" w:color="auto"/>
              <w:left w:val="nil"/>
              <w:bottom w:val="single" w:sz="8" w:space="0" w:color="auto"/>
              <w:right w:val="single" w:sz="8" w:space="0" w:color="auto"/>
            </w:tcBorders>
            <w:shd w:val="clear" w:color="auto" w:fill="2C8082"/>
            <w:tcMar>
              <w:top w:w="28" w:type="dxa"/>
              <w:left w:w="28" w:type="dxa"/>
              <w:bottom w:w="28" w:type="dxa"/>
              <w:right w:w="28" w:type="dxa"/>
            </w:tcMar>
            <w:hideMark/>
          </w:tcPr>
          <w:p w14:paraId="2D09EB44" w14:textId="77777777" w:rsidR="00D70C1A" w:rsidRPr="003575C5" w:rsidRDefault="00D70C1A">
            <w:pPr>
              <w:spacing w:after="0"/>
              <w:rPr>
                <w:sz w:val="22"/>
                <w:szCs w:val="22"/>
              </w:rPr>
            </w:pPr>
            <w:r w:rsidRPr="003575C5">
              <w:rPr>
                <w:b/>
                <w:bCs/>
                <w:color w:val="FFFFFF"/>
                <w:sz w:val="22"/>
                <w:szCs w:val="22"/>
              </w:rPr>
              <w:t>Overlap / Collaboration Opportunities</w:t>
            </w:r>
          </w:p>
        </w:tc>
      </w:tr>
      <w:tr w:rsidR="00D70C1A" w14:paraId="2C53D2D9" w14:textId="77777777" w:rsidTr="003575C5">
        <w:tc>
          <w:tcPr>
            <w:tcW w:w="1644" w:type="dxa"/>
            <w:tcBorders>
              <w:top w:val="nil"/>
              <w:left w:val="single" w:sz="8" w:space="0" w:color="auto"/>
              <w:bottom w:val="single" w:sz="8" w:space="0" w:color="auto"/>
              <w:right w:val="single" w:sz="8" w:space="0" w:color="auto"/>
            </w:tcBorders>
            <w:shd w:val="clear" w:color="auto" w:fill="2C8082"/>
            <w:tcMar>
              <w:top w:w="28" w:type="dxa"/>
              <w:left w:w="28" w:type="dxa"/>
              <w:bottom w:w="28" w:type="dxa"/>
              <w:right w:w="28" w:type="dxa"/>
            </w:tcMar>
            <w:hideMark/>
          </w:tcPr>
          <w:p w14:paraId="5DD55E40" w14:textId="458CA2EB" w:rsidR="00D70C1A" w:rsidRPr="003575C5" w:rsidRDefault="00634514">
            <w:pPr>
              <w:spacing w:after="0"/>
              <w:rPr>
                <w:sz w:val="22"/>
                <w:szCs w:val="22"/>
              </w:rPr>
            </w:pPr>
            <w:r w:rsidRPr="003575C5">
              <w:rPr>
                <w:b/>
                <w:bCs/>
                <w:color w:val="FFFFFF"/>
                <w:sz w:val="22"/>
                <w:szCs w:val="22"/>
              </w:rPr>
              <w:t>AI Enabled Operating Models</w:t>
            </w:r>
          </w:p>
        </w:tc>
        <w:tc>
          <w:tcPr>
            <w:tcW w:w="2892" w:type="dxa"/>
            <w:tcBorders>
              <w:top w:val="nil"/>
              <w:left w:val="nil"/>
              <w:bottom w:val="single" w:sz="8" w:space="0" w:color="auto"/>
              <w:right w:val="single" w:sz="8" w:space="0" w:color="auto"/>
            </w:tcBorders>
            <w:tcMar>
              <w:top w:w="28" w:type="dxa"/>
              <w:left w:w="28" w:type="dxa"/>
              <w:bottom w:w="28" w:type="dxa"/>
              <w:right w:w="28" w:type="dxa"/>
            </w:tcMar>
            <w:hideMark/>
          </w:tcPr>
          <w:p w14:paraId="5D8DA746" w14:textId="77777777" w:rsidR="00D70C1A" w:rsidRDefault="00D70C1A">
            <w:pPr>
              <w:spacing w:after="0"/>
            </w:pPr>
            <w:r>
              <w:rPr>
                <w:sz w:val="20"/>
                <w:szCs w:val="20"/>
              </w:rPr>
              <w:t>Explore how AI can become part of the daily operating model for securities services firms, rather than remaining limited to isolated tools or pilots. The focus is on repeatable use cases that improve end-to-end workflows, increase automation and support a realistic path towards straight-through processing.</w:t>
            </w:r>
          </w:p>
        </w:tc>
        <w:tc>
          <w:tcPr>
            <w:tcW w:w="2694" w:type="dxa"/>
            <w:tcBorders>
              <w:top w:val="nil"/>
              <w:left w:val="nil"/>
              <w:bottom w:val="single" w:sz="8" w:space="0" w:color="auto"/>
              <w:right w:val="single" w:sz="8" w:space="0" w:color="auto"/>
            </w:tcBorders>
            <w:tcMar>
              <w:top w:w="28" w:type="dxa"/>
              <w:left w:w="28" w:type="dxa"/>
              <w:bottom w:w="28" w:type="dxa"/>
              <w:right w:w="28" w:type="dxa"/>
            </w:tcMar>
            <w:hideMark/>
          </w:tcPr>
          <w:p w14:paraId="1E570318" w14:textId="77777777" w:rsidR="00D70C1A" w:rsidRDefault="00D70C1A">
            <w:pPr>
              <w:spacing w:after="0"/>
            </w:pPr>
            <w:r>
              <w:rPr>
                <w:sz w:val="20"/>
                <w:szCs w:val="20"/>
              </w:rPr>
              <w:t>Directly supports the WG mandate to move AI from experimentation to practical industry adoption.</w:t>
            </w:r>
          </w:p>
        </w:tc>
        <w:tc>
          <w:tcPr>
            <w:tcW w:w="2976" w:type="dxa"/>
            <w:tcBorders>
              <w:top w:val="nil"/>
              <w:left w:val="nil"/>
              <w:bottom w:val="single" w:sz="8" w:space="0" w:color="auto"/>
              <w:right w:val="single" w:sz="8" w:space="0" w:color="auto"/>
            </w:tcBorders>
            <w:tcMar>
              <w:top w:w="28" w:type="dxa"/>
              <w:left w:w="28" w:type="dxa"/>
              <w:bottom w:w="28" w:type="dxa"/>
              <w:right w:w="28" w:type="dxa"/>
            </w:tcMar>
            <w:hideMark/>
          </w:tcPr>
          <w:p w14:paraId="0B1E8152" w14:textId="77777777" w:rsidR="00D70C1A" w:rsidRDefault="00D70C1A">
            <w:pPr>
              <w:spacing w:after="0"/>
            </w:pPr>
            <w:r>
              <w:rPr>
                <w:sz w:val="20"/>
                <w:szCs w:val="20"/>
              </w:rPr>
              <w:t xml:space="preserve">Coordinate with </w:t>
            </w:r>
            <w:r>
              <w:rPr>
                <w:b/>
                <w:bCs/>
                <w:sz w:val="20"/>
                <w:szCs w:val="20"/>
              </w:rPr>
              <w:t>Asset Servicing WG</w:t>
            </w:r>
            <w:r>
              <w:rPr>
                <w:sz w:val="20"/>
                <w:szCs w:val="20"/>
              </w:rPr>
              <w:t xml:space="preserve"> on process implications and </w:t>
            </w:r>
            <w:r>
              <w:rPr>
                <w:b/>
                <w:bCs/>
                <w:sz w:val="20"/>
                <w:szCs w:val="20"/>
              </w:rPr>
              <w:t>Investor Solutions WG</w:t>
            </w:r>
            <w:r>
              <w:rPr>
                <w:sz w:val="20"/>
                <w:szCs w:val="20"/>
              </w:rPr>
              <w:t xml:space="preserve"> on client-facing impacts. The WG should remain focused on operating model implications, not detailed process redesign.</w:t>
            </w:r>
          </w:p>
        </w:tc>
      </w:tr>
      <w:tr w:rsidR="00D70C1A" w14:paraId="19F31639" w14:textId="77777777" w:rsidTr="003575C5">
        <w:tc>
          <w:tcPr>
            <w:tcW w:w="1644" w:type="dxa"/>
            <w:tcBorders>
              <w:top w:val="nil"/>
              <w:left w:val="single" w:sz="8" w:space="0" w:color="auto"/>
              <w:bottom w:val="single" w:sz="8" w:space="0" w:color="auto"/>
              <w:right w:val="single" w:sz="8" w:space="0" w:color="auto"/>
            </w:tcBorders>
            <w:shd w:val="clear" w:color="auto" w:fill="2C8082"/>
            <w:tcMar>
              <w:top w:w="28" w:type="dxa"/>
              <w:left w:w="28" w:type="dxa"/>
              <w:bottom w:w="28" w:type="dxa"/>
              <w:right w:w="28" w:type="dxa"/>
            </w:tcMar>
            <w:hideMark/>
          </w:tcPr>
          <w:p w14:paraId="11960BE6" w14:textId="77777777" w:rsidR="004E5597" w:rsidRPr="003575C5" w:rsidRDefault="004E5597" w:rsidP="004E5597">
            <w:pPr>
              <w:spacing w:after="0"/>
              <w:rPr>
                <w:b/>
                <w:bCs/>
                <w:color w:val="FFFFFF"/>
                <w:sz w:val="22"/>
                <w:szCs w:val="22"/>
              </w:rPr>
            </w:pPr>
            <w:r w:rsidRPr="003575C5">
              <w:rPr>
                <w:b/>
                <w:bCs/>
                <w:color w:val="FFFFFF"/>
                <w:sz w:val="22"/>
                <w:szCs w:val="22"/>
              </w:rPr>
              <w:t xml:space="preserve">Where AI Creates Strategic Advantage </w:t>
            </w:r>
          </w:p>
          <w:p w14:paraId="26CCA12E" w14:textId="3E27A29C" w:rsidR="00D70C1A" w:rsidRPr="003575C5" w:rsidRDefault="00D70C1A">
            <w:pPr>
              <w:spacing w:after="0"/>
              <w:rPr>
                <w:sz w:val="22"/>
                <w:szCs w:val="22"/>
              </w:rPr>
            </w:pPr>
          </w:p>
        </w:tc>
        <w:tc>
          <w:tcPr>
            <w:tcW w:w="2892" w:type="dxa"/>
            <w:tcBorders>
              <w:top w:val="nil"/>
              <w:left w:val="nil"/>
              <w:bottom w:val="single" w:sz="8" w:space="0" w:color="auto"/>
              <w:right w:val="single" w:sz="8" w:space="0" w:color="auto"/>
            </w:tcBorders>
            <w:tcMar>
              <w:top w:w="28" w:type="dxa"/>
              <w:left w:w="28" w:type="dxa"/>
              <w:bottom w:w="28" w:type="dxa"/>
              <w:right w:w="28" w:type="dxa"/>
            </w:tcMar>
            <w:hideMark/>
          </w:tcPr>
          <w:p w14:paraId="13502D18" w14:textId="77777777" w:rsidR="00D70C1A" w:rsidRDefault="00D70C1A">
            <w:pPr>
              <w:spacing w:after="0"/>
            </w:pPr>
            <w:r>
              <w:rPr>
                <w:sz w:val="20"/>
                <w:szCs w:val="20"/>
              </w:rPr>
              <w:t>Assess whether broad access to AI through Big Tech and hyperscalers makes AI capability less differentiating. Identify where competitive advantage may still sit, such as trusted data, orchestration, governance, operating know-how, vendor strategy and the choice between insourcing and outsourcing.</w:t>
            </w:r>
          </w:p>
        </w:tc>
        <w:tc>
          <w:tcPr>
            <w:tcW w:w="2694" w:type="dxa"/>
            <w:tcBorders>
              <w:top w:val="nil"/>
              <w:left w:val="nil"/>
              <w:bottom w:val="single" w:sz="8" w:space="0" w:color="auto"/>
              <w:right w:val="single" w:sz="8" w:space="0" w:color="auto"/>
            </w:tcBorders>
            <w:tcMar>
              <w:top w:w="28" w:type="dxa"/>
              <w:left w:w="28" w:type="dxa"/>
              <w:bottom w:w="28" w:type="dxa"/>
              <w:right w:w="28" w:type="dxa"/>
            </w:tcMar>
            <w:hideMark/>
          </w:tcPr>
          <w:p w14:paraId="05DE9ADC" w14:textId="77777777" w:rsidR="00D70C1A" w:rsidRDefault="00D70C1A">
            <w:pPr>
              <w:spacing w:after="0"/>
            </w:pPr>
            <w:r>
              <w:rPr>
                <w:sz w:val="20"/>
                <w:szCs w:val="20"/>
              </w:rPr>
              <w:t>Provides a natural follow-on from the Big Tech paper and keeps the WG focused on strategic industry implications.</w:t>
            </w:r>
          </w:p>
        </w:tc>
        <w:tc>
          <w:tcPr>
            <w:tcW w:w="2976" w:type="dxa"/>
            <w:tcBorders>
              <w:top w:val="nil"/>
              <w:left w:val="nil"/>
              <w:bottom w:val="single" w:sz="8" w:space="0" w:color="auto"/>
              <w:right w:val="single" w:sz="8" w:space="0" w:color="auto"/>
            </w:tcBorders>
            <w:tcMar>
              <w:top w:w="28" w:type="dxa"/>
              <w:left w:w="28" w:type="dxa"/>
              <w:bottom w:w="28" w:type="dxa"/>
              <w:right w:w="28" w:type="dxa"/>
            </w:tcMar>
            <w:hideMark/>
          </w:tcPr>
          <w:p w14:paraId="47E792AF" w14:textId="77777777" w:rsidR="00D70C1A" w:rsidRDefault="00D70C1A">
            <w:pPr>
              <w:spacing w:after="0"/>
            </w:pPr>
            <w:r>
              <w:rPr>
                <w:sz w:val="20"/>
                <w:szCs w:val="20"/>
              </w:rPr>
              <w:t xml:space="preserve">Light-touch coordination with </w:t>
            </w:r>
            <w:r>
              <w:rPr>
                <w:b/>
                <w:bCs/>
                <w:sz w:val="20"/>
                <w:szCs w:val="20"/>
              </w:rPr>
              <w:t>Emerging Themes WG</w:t>
            </w:r>
            <w:r>
              <w:rPr>
                <w:sz w:val="20"/>
                <w:szCs w:val="20"/>
              </w:rPr>
              <w:t>. The distinct contribution is to explain what commoditised AI means for securities services strategy.</w:t>
            </w:r>
          </w:p>
        </w:tc>
      </w:tr>
      <w:tr w:rsidR="00D70C1A" w14:paraId="2EBAF11F" w14:textId="77777777" w:rsidTr="003575C5">
        <w:tc>
          <w:tcPr>
            <w:tcW w:w="1644" w:type="dxa"/>
            <w:tcBorders>
              <w:top w:val="nil"/>
              <w:left w:val="single" w:sz="8" w:space="0" w:color="auto"/>
              <w:bottom w:val="single" w:sz="8" w:space="0" w:color="auto"/>
              <w:right w:val="single" w:sz="8" w:space="0" w:color="auto"/>
            </w:tcBorders>
            <w:shd w:val="clear" w:color="auto" w:fill="2C8082"/>
            <w:tcMar>
              <w:top w:w="28" w:type="dxa"/>
              <w:left w:w="28" w:type="dxa"/>
              <w:bottom w:w="28" w:type="dxa"/>
              <w:right w:w="28" w:type="dxa"/>
            </w:tcMar>
            <w:hideMark/>
          </w:tcPr>
          <w:p w14:paraId="1DA84999" w14:textId="77777777" w:rsidR="00D70C1A" w:rsidRPr="003575C5" w:rsidRDefault="00D70C1A">
            <w:pPr>
              <w:spacing w:after="0"/>
              <w:rPr>
                <w:sz w:val="22"/>
                <w:szCs w:val="22"/>
              </w:rPr>
            </w:pPr>
            <w:r w:rsidRPr="003575C5">
              <w:rPr>
                <w:b/>
                <w:bCs/>
                <w:color w:val="FFFFFF"/>
                <w:sz w:val="22"/>
                <w:szCs w:val="22"/>
              </w:rPr>
              <w:t>Future Data Access Models</w:t>
            </w:r>
          </w:p>
        </w:tc>
        <w:tc>
          <w:tcPr>
            <w:tcW w:w="2892" w:type="dxa"/>
            <w:tcBorders>
              <w:top w:val="nil"/>
              <w:left w:val="nil"/>
              <w:bottom w:val="single" w:sz="8" w:space="0" w:color="auto"/>
              <w:right w:val="single" w:sz="8" w:space="0" w:color="auto"/>
            </w:tcBorders>
            <w:tcMar>
              <w:top w:w="28" w:type="dxa"/>
              <w:left w:w="28" w:type="dxa"/>
              <w:bottom w:w="28" w:type="dxa"/>
              <w:right w:w="28" w:type="dxa"/>
            </w:tcMar>
            <w:hideMark/>
          </w:tcPr>
          <w:p w14:paraId="5C1C3198" w14:textId="77777777" w:rsidR="00D70C1A" w:rsidRDefault="00D70C1A">
            <w:pPr>
              <w:spacing w:after="0"/>
            </w:pPr>
            <w:r>
              <w:rPr>
                <w:sz w:val="20"/>
                <w:szCs w:val="20"/>
              </w:rPr>
              <w:t>Examine how AI changes the way firms access and use data, including zero-copy access, federated learning and data clean rooms. The focus is on how firms can use more data without unnecessarily moving, duplicating or exposing it.</w:t>
            </w:r>
          </w:p>
        </w:tc>
        <w:tc>
          <w:tcPr>
            <w:tcW w:w="2694" w:type="dxa"/>
            <w:tcBorders>
              <w:top w:val="nil"/>
              <w:left w:val="nil"/>
              <w:bottom w:val="single" w:sz="8" w:space="0" w:color="auto"/>
              <w:right w:val="single" w:sz="8" w:space="0" w:color="auto"/>
            </w:tcBorders>
            <w:tcMar>
              <w:top w:w="28" w:type="dxa"/>
              <w:left w:w="28" w:type="dxa"/>
              <w:bottom w:w="28" w:type="dxa"/>
              <w:right w:w="28" w:type="dxa"/>
            </w:tcMar>
            <w:hideMark/>
          </w:tcPr>
          <w:p w14:paraId="40A78B35" w14:textId="77777777" w:rsidR="00D70C1A" w:rsidRDefault="00D70C1A">
            <w:pPr>
              <w:spacing w:after="0"/>
            </w:pPr>
            <w:r>
              <w:rPr>
                <w:sz w:val="20"/>
                <w:szCs w:val="20"/>
              </w:rPr>
              <w:t>Data access is a core constraint for scaling AI safely across firms, markets and jurisdictions.</w:t>
            </w:r>
          </w:p>
        </w:tc>
        <w:tc>
          <w:tcPr>
            <w:tcW w:w="2976" w:type="dxa"/>
            <w:tcBorders>
              <w:top w:val="nil"/>
              <w:left w:val="nil"/>
              <w:bottom w:val="single" w:sz="8" w:space="0" w:color="auto"/>
              <w:right w:val="single" w:sz="8" w:space="0" w:color="auto"/>
            </w:tcBorders>
            <w:tcMar>
              <w:top w:w="28" w:type="dxa"/>
              <w:left w:w="28" w:type="dxa"/>
              <w:bottom w:w="28" w:type="dxa"/>
              <w:right w:w="28" w:type="dxa"/>
            </w:tcMar>
            <w:hideMark/>
          </w:tcPr>
          <w:p w14:paraId="769434CF" w14:textId="77777777" w:rsidR="00D70C1A" w:rsidRDefault="00D70C1A">
            <w:pPr>
              <w:spacing w:after="0"/>
            </w:pPr>
            <w:r>
              <w:rPr>
                <w:sz w:val="20"/>
                <w:szCs w:val="20"/>
              </w:rPr>
              <w:t xml:space="preserve">Coordinate with </w:t>
            </w:r>
            <w:r>
              <w:rPr>
                <w:b/>
                <w:bCs/>
                <w:sz w:val="20"/>
                <w:szCs w:val="20"/>
              </w:rPr>
              <w:t>Asset Servicing WG</w:t>
            </w:r>
            <w:r>
              <w:rPr>
                <w:sz w:val="20"/>
                <w:szCs w:val="20"/>
              </w:rPr>
              <w:t xml:space="preserve"> on data standards and </w:t>
            </w:r>
            <w:r>
              <w:rPr>
                <w:b/>
                <w:bCs/>
                <w:sz w:val="20"/>
                <w:szCs w:val="20"/>
              </w:rPr>
              <w:t>Digital Assets WG</w:t>
            </w:r>
            <w:r>
              <w:rPr>
                <w:sz w:val="20"/>
                <w:szCs w:val="20"/>
              </w:rPr>
              <w:t xml:space="preserve"> on tokenised data. The WG should stay at the architecture and governance level.</w:t>
            </w:r>
          </w:p>
        </w:tc>
      </w:tr>
      <w:tr w:rsidR="00D70C1A" w14:paraId="5D364776" w14:textId="77777777" w:rsidTr="003575C5">
        <w:tc>
          <w:tcPr>
            <w:tcW w:w="1644" w:type="dxa"/>
            <w:tcBorders>
              <w:top w:val="nil"/>
              <w:left w:val="single" w:sz="8" w:space="0" w:color="auto"/>
              <w:bottom w:val="single" w:sz="8" w:space="0" w:color="auto"/>
              <w:right w:val="single" w:sz="8" w:space="0" w:color="auto"/>
            </w:tcBorders>
            <w:shd w:val="clear" w:color="auto" w:fill="2C8082"/>
            <w:tcMar>
              <w:top w:w="28" w:type="dxa"/>
              <w:left w:w="28" w:type="dxa"/>
              <w:bottom w:w="28" w:type="dxa"/>
              <w:right w:w="28" w:type="dxa"/>
            </w:tcMar>
            <w:hideMark/>
          </w:tcPr>
          <w:p w14:paraId="54C0F8EB" w14:textId="77777777" w:rsidR="00D70C1A" w:rsidRPr="003575C5" w:rsidRDefault="00D70C1A">
            <w:pPr>
              <w:spacing w:after="0"/>
              <w:rPr>
                <w:sz w:val="22"/>
                <w:szCs w:val="22"/>
              </w:rPr>
            </w:pPr>
            <w:r w:rsidRPr="003575C5">
              <w:rPr>
                <w:b/>
                <w:bCs/>
                <w:color w:val="FFFFFF"/>
                <w:sz w:val="22"/>
                <w:szCs w:val="22"/>
              </w:rPr>
              <w:t xml:space="preserve">From Cyber Risk to </w:t>
            </w:r>
            <w:r w:rsidRPr="003575C5">
              <w:rPr>
                <w:b/>
                <w:bCs/>
                <w:color w:val="FFFFFF"/>
                <w:sz w:val="22"/>
                <w:szCs w:val="22"/>
              </w:rPr>
              <w:lastRenderedPageBreak/>
              <w:t>Autonomous Resilience</w:t>
            </w:r>
          </w:p>
        </w:tc>
        <w:tc>
          <w:tcPr>
            <w:tcW w:w="2892" w:type="dxa"/>
            <w:tcBorders>
              <w:top w:val="nil"/>
              <w:left w:val="nil"/>
              <w:bottom w:val="single" w:sz="8" w:space="0" w:color="auto"/>
              <w:right w:val="single" w:sz="8" w:space="0" w:color="auto"/>
            </w:tcBorders>
            <w:tcMar>
              <w:top w:w="28" w:type="dxa"/>
              <w:left w:w="28" w:type="dxa"/>
              <w:bottom w:w="28" w:type="dxa"/>
              <w:right w:w="28" w:type="dxa"/>
            </w:tcMar>
            <w:hideMark/>
          </w:tcPr>
          <w:p w14:paraId="0A1A343A" w14:textId="77777777" w:rsidR="00D70C1A" w:rsidRDefault="00D70C1A">
            <w:pPr>
              <w:spacing w:after="0"/>
            </w:pPr>
            <w:r>
              <w:rPr>
                <w:sz w:val="20"/>
                <w:szCs w:val="20"/>
              </w:rPr>
              <w:lastRenderedPageBreak/>
              <w:t xml:space="preserve">Consider how AI may change resilience models, including faster threat detection, </w:t>
            </w:r>
            <w:r>
              <w:rPr>
                <w:sz w:val="20"/>
                <w:szCs w:val="20"/>
              </w:rPr>
              <w:lastRenderedPageBreak/>
              <w:t>automated response, self-healing infrastructure and earlier identification of operational vulnerabilities.</w:t>
            </w:r>
          </w:p>
        </w:tc>
        <w:tc>
          <w:tcPr>
            <w:tcW w:w="2694" w:type="dxa"/>
            <w:tcBorders>
              <w:top w:val="nil"/>
              <w:left w:val="nil"/>
              <w:bottom w:val="single" w:sz="8" w:space="0" w:color="auto"/>
              <w:right w:val="single" w:sz="8" w:space="0" w:color="auto"/>
            </w:tcBorders>
            <w:tcMar>
              <w:top w:w="28" w:type="dxa"/>
              <w:left w:w="28" w:type="dxa"/>
              <w:bottom w:w="28" w:type="dxa"/>
              <w:right w:w="28" w:type="dxa"/>
            </w:tcMar>
            <w:hideMark/>
          </w:tcPr>
          <w:p w14:paraId="2A525B48" w14:textId="77777777" w:rsidR="00D70C1A" w:rsidRDefault="00D70C1A">
            <w:pPr>
              <w:spacing w:after="0"/>
            </w:pPr>
            <w:r>
              <w:rPr>
                <w:sz w:val="20"/>
                <w:szCs w:val="20"/>
              </w:rPr>
              <w:lastRenderedPageBreak/>
              <w:t xml:space="preserve">Positions the WG at the forward-looking intersection </w:t>
            </w:r>
            <w:r>
              <w:rPr>
                <w:sz w:val="20"/>
                <w:szCs w:val="20"/>
              </w:rPr>
              <w:lastRenderedPageBreak/>
              <w:t>of AI, cyber and operational resilience.</w:t>
            </w:r>
          </w:p>
        </w:tc>
        <w:tc>
          <w:tcPr>
            <w:tcW w:w="2976" w:type="dxa"/>
            <w:tcBorders>
              <w:top w:val="nil"/>
              <w:left w:val="nil"/>
              <w:bottom w:val="single" w:sz="8" w:space="0" w:color="auto"/>
              <w:right w:val="single" w:sz="8" w:space="0" w:color="auto"/>
            </w:tcBorders>
            <w:tcMar>
              <w:top w:w="28" w:type="dxa"/>
              <w:left w:w="28" w:type="dxa"/>
              <w:bottom w:w="28" w:type="dxa"/>
              <w:right w:w="28" w:type="dxa"/>
            </w:tcMar>
            <w:hideMark/>
          </w:tcPr>
          <w:p w14:paraId="34849433" w14:textId="77777777" w:rsidR="00D70C1A" w:rsidRDefault="00D70C1A">
            <w:pPr>
              <w:spacing w:after="0"/>
            </w:pPr>
            <w:r>
              <w:rPr>
                <w:sz w:val="20"/>
                <w:szCs w:val="20"/>
              </w:rPr>
              <w:lastRenderedPageBreak/>
              <w:t xml:space="preserve">Collaborate with </w:t>
            </w:r>
            <w:r>
              <w:rPr>
                <w:b/>
                <w:bCs/>
                <w:sz w:val="20"/>
                <w:szCs w:val="20"/>
              </w:rPr>
              <w:t>Cyber WG</w:t>
            </w:r>
            <w:r>
              <w:rPr>
                <w:sz w:val="20"/>
                <w:szCs w:val="20"/>
              </w:rPr>
              <w:t xml:space="preserve">. Cyber WG can focus on threat frameworks and controls; this WG </w:t>
            </w:r>
            <w:r>
              <w:rPr>
                <w:sz w:val="20"/>
                <w:szCs w:val="20"/>
              </w:rPr>
              <w:lastRenderedPageBreak/>
              <w:t>can focus on future-state AI-enabled resilience models.</w:t>
            </w:r>
          </w:p>
        </w:tc>
      </w:tr>
      <w:tr w:rsidR="00D70C1A" w14:paraId="366233AB" w14:textId="77777777" w:rsidTr="003575C5">
        <w:tc>
          <w:tcPr>
            <w:tcW w:w="1644" w:type="dxa"/>
            <w:tcBorders>
              <w:top w:val="nil"/>
              <w:left w:val="single" w:sz="8" w:space="0" w:color="auto"/>
              <w:bottom w:val="single" w:sz="8" w:space="0" w:color="auto"/>
              <w:right w:val="single" w:sz="8" w:space="0" w:color="auto"/>
            </w:tcBorders>
            <w:shd w:val="clear" w:color="auto" w:fill="2C8082"/>
            <w:tcMar>
              <w:top w:w="28" w:type="dxa"/>
              <w:left w:w="28" w:type="dxa"/>
              <w:bottom w:w="28" w:type="dxa"/>
              <w:right w:w="28" w:type="dxa"/>
            </w:tcMar>
            <w:hideMark/>
          </w:tcPr>
          <w:p w14:paraId="06605908" w14:textId="77777777" w:rsidR="00D70C1A" w:rsidRPr="003575C5" w:rsidRDefault="00D70C1A">
            <w:pPr>
              <w:spacing w:after="0"/>
              <w:rPr>
                <w:sz w:val="22"/>
                <w:szCs w:val="22"/>
              </w:rPr>
            </w:pPr>
            <w:r w:rsidRPr="003575C5">
              <w:rPr>
                <w:b/>
                <w:bCs/>
                <w:color w:val="FFFFFF"/>
                <w:sz w:val="22"/>
                <w:szCs w:val="22"/>
              </w:rPr>
              <w:lastRenderedPageBreak/>
              <w:t>From Periodic Checks to Continuous AI-Driven Decisioning</w:t>
            </w:r>
          </w:p>
        </w:tc>
        <w:tc>
          <w:tcPr>
            <w:tcW w:w="2892" w:type="dxa"/>
            <w:tcBorders>
              <w:top w:val="nil"/>
              <w:left w:val="nil"/>
              <w:bottom w:val="single" w:sz="8" w:space="0" w:color="auto"/>
              <w:right w:val="single" w:sz="8" w:space="0" w:color="auto"/>
            </w:tcBorders>
            <w:tcMar>
              <w:top w:w="28" w:type="dxa"/>
              <w:left w:w="28" w:type="dxa"/>
              <w:bottom w:w="28" w:type="dxa"/>
              <w:right w:w="28" w:type="dxa"/>
            </w:tcMar>
            <w:hideMark/>
          </w:tcPr>
          <w:p w14:paraId="39442F3F" w14:textId="77777777" w:rsidR="00D70C1A" w:rsidRDefault="00D70C1A">
            <w:pPr>
              <w:spacing w:after="0"/>
            </w:pPr>
            <w:r>
              <w:rPr>
                <w:sz w:val="20"/>
                <w:szCs w:val="20"/>
              </w:rPr>
              <w:t>Investigate the shift from periodic or batch-based reviews to continuous monitoring and AI-assisted decisioning. Relevant examples include risk monitoring, onboarding, collateral management, transaction surveillance and financial crime controls.</w:t>
            </w:r>
          </w:p>
        </w:tc>
        <w:tc>
          <w:tcPr>
            <w:tcW w:w="2694" w:type="dxa"/>
            <w:tcBorders>
              <w:top w:val="nil"/>
              <w:left w:val="nil"/>
              <w:bottom w:val="single" w:sz="8" w:space="0" w:color="auto"/>
              <w:right w:val="single" w:sz="8" w:space="0" w:color="auto"/>
            </w:tcBorders>
            <w:tcMar>
              <w:top w:w="28" w:type="dxa"/>
              <w:left w:w="28" w:type="dxa"/>
              <w:bottom w:w="28" w:type="dxa"/>
              <w:right w:w="28" w:type="dxa"/>
            </w:tcMar>
            <w:hideMark/>
          </w:tcPr>
          <w:p w14:paraId="07D5453A" w14:textId="77777777" w:rsidR="00D70C1A" w:rsidRDefault="00D70C1A">
            <w:pPr>
              <w:spacing w:after="0"/>
            </w:pPr>
            <w:r>
              <w:rPr>
                <w:sz w:val="20"/>
                <w:szCs w:val="20"/>
              </w:rPr>
              <w:t>Shows how AI and real-time data could change control functions from periodic review cycles to more continuous, evidence-based interventions.</w:t>
            </w:r>
          </w:p>
        </w:tc>
        <w:tc>
          <w:tcPr>
            <w:tcW w:w="2976" w:type="dxa"/>
            <w:tcBorders>
              <w:top w:val="nil"/>
              <w:left w:val="nil"/>
              <w:bottom w:val="single" w:sz="8" w:space="0" w:color="auto"/>
              <w:right w:val="single" w:sz="8" w:space="0" w:color="auto"/>
            </w:tcBorders>
            <w:tcMar>
              <w:top w:w="28" w:type="dxa"/>
              <w:left w:w="28" w:type="dxa"/>
              <w:bottom w:w="28" w:type="dxa"/>
              <w:right w:w="28" w:type="dxa"/>
            </w:tcMar>
            <w:hideMark/>
          </w:tcPr>
          <w:p w14:paraId="1BCD8489" w14:textId="77777777" w:rsidR="00D70C1A" w:rsidRDefault="00D70C1A">
            <w:pPr>
              <w:spacing w:after="0"/>
            </w:pPr>
            <w:r>
              <w:rPr>
                <w:sz w:val="20"/>
                <w:szCs w:val="20"/>
              </w:rPr>
              <w:t xml:space="preserve">Clear touch-points with </w:t>
            </w:r>
            <w:r>
              <w:rPr>
                <w:b/>
                <w:bCs/>
                <w:sz w:val="20"/>
                <w:szCs w:val="20"/>
              </w:rPr>
              <w:t>Financial Crime Compliance WG</w:t>
            </w:r>
            <w:r>
              <w:rPr>
                <w:sz w:val="20"/>
                <w:szCs w:val="20"/>
              </w:rPr>
              <w:t xml:space="preserve">, </w:t>
            </w:r>
            <w:r>
              <w:rPr>
                <w:b/>
                <w:bCs/>
                <w:sz w:val="20"/>
                <w:szCs w:val="20"/>
              </w:rPr>
              <w:t>Digital Identity &amp; Onboarding WG</w:t>
            </w:r>
            <w:r>
              <w:rPr>
                <w:sz w:val="20"/>
                <w:szCs w:val="20"/>
              </w:rPr>
              <w:t xml:space="preserve"> and relevant risk groups. This WG should focus on the AI-enabled operating model, not detailed regulatory interpretation.</w:t>
            </w:r>
          </w:p>
        </w:tc>
      </w:tr>
      <w:tr w:rsidR="00D70C1A" w14:paraId="1C5A41AF" w14:textId="77777777" w:rsidTr="003575C5">
        <w:tc>
          <w:tcPr>
            <w:tcW w:w="1644" w:type="dxa"/>
            <w:tcBorders>
              <w:top w:val="nil"/>
              <w:left w:val="single" w:sz="8" w:space="0" w:color="auto"/>
              <w:bottom w:val="single" w:sz="8" w:space="0" w:color="auto"/>
              <w:right w:val="single" w:sz="8" w:space="0" w:color="auto"/>
            </w:tcBorders>
            <w:shd w:val="clear" w:color="auto" w:fill="2C8082"/>
            <w:tcMar>
              <w:top w:w="28" w:type="dxa"/>
              <w:left w:w="28" w:type="dxa"/>
              <w:bottom w:w="28" w:type="dxa"/>
              <w:right w:w="28" w:type="dxa"/>
            </w:tcMar>
            <w:hideMark/>
          </w:tcPr>
          <w:p w14:paraId="7064EDED" w14:textId="77777777" w:rsidR="00D70C1A" w:rsidRPr="003575C5" w:rsidRDefault="00D70C1A">
            <w:pPr>
              <w:spacing w:after="0"/>
              <w:rPr>
                <w:sz w:val="22"/>
                <w:szCs w:val="22"/>
              </w:rPr>
            </w:pPr>
            <w:r w:rsidRPr="003575C5">
              <w:rPr>
                <w:b/>
                <w:bCs/>
                <w:color w:val="FFFFFF"/>
                <w:sz w:val="22"/>
                <w:szCs w:val="22"/>
              </w:rPr>
              <w:t>App-less / GUI-less Interaction Models</w:t>
            </w:r>
          </w:p>
        </w:tc>
        <w:tc>
          <w:tcPr>
            <w:tcW w:w="2892" w:type="dxa"/>
            <w:tcBorders>
              <w:top w:val="nil"/>
              <w:left w:val="nil"/>
              <w:bottom w:val="single" w:sz="8" w:space="0" w:color="auto"/>
              <w:right w:val="single" w:sz="8" w:space="0" w:color="auto"/>
            </w:tcBorders>
            <w:tcMar>
              <w:top w:w="28" w:type="dxa"/>
              <w:left w:w="28" w:type="dxa"/>
              <w:bottom w:w="28" w:type="dxa"/>
              <w:right w:w="28" w:type="dxa"/>
            </w:tcMar>
            <w:hideMark/>
          </w:tcPr>
          <w:p w14:paraId="6B088FE3" w14:textId="77777777" w:rsidR="00D70C1A" w:rsidRDefault="00D70C1A">
            <w:pPr>
              <w:spacing w:after="0"/>
            </w:pPr>
            <w:r>
              <w:rPr>
                <w:sz w:val="20"/>
                <w:szCs w:val="20"/>
              </w:rPr>
              <w:t>Explore how users may interact with systems through AI agents, copilots and intent-based workflows instead of traditional screens and applications. This includes both client-facing and internal operating environments.</w:t>
            </w:r>
          </w:p>
        </w:tc>
        <w:tc>
          <w:tcPr>
            <w:tcW w:w="2694" w:type="dxa"/>
            <w:tcBorders>
              <w:top w:val="nil"/>
              <w:left w:val="nil"/>
              <w:bottom w:val="single" w:sz="8" w:space="0" w:color="auto"/>
              <w:right w:val="single" w:sz="8" w:space="0" w:color="auto"/>
            </w:tcBorders>
            <w:tcMar>
              <w:top w:w="28" w:type="dxa"/>
              <w:left w:w="28" w:type="dxa"/>
              <w:bottom w:w="28" w:type="dxa"/>
              <w:right w:w="28" w:type="dxa"/>
            </w:tcMar>
            <w:hideMark/>
          </w:tcPr>
          <w:p w14:paraId="4284DBCB" w14:textId="77777777" w:rsidR="00D70C1A" w:rsidRDefault="00D70C1A">
            <w:pPr>
              <w:spacing w:after="0"/>
            </w:pPr>
            <w:r>
              <w:rPr>
                <w:sz w:val="20"/>
                <w:szCs w:val="20"/>
              </w:rPr>
              <w:t>Highly relevant to AI-enabled user experience, workflow orchestration and operating model transformation.</w:t>
            </w:r>
          </w:p>
        </w:tc>
        <w:tc>
          <w:tcPr>
            <w:tcW w:w="2976" w:type="dxa"/>
            <w:tcBorders>
              <w:top w:val="nil"/>
              <w:left w:val="nil"/>
              <w:bottom w:val="single" w:sz="8" w:space="0" w:color="auto"/>
              <w:right w:val="single" w:sz="8" w:space="0" w:color="auto"/>
            </w:tcBorders>
            <w:tcMar>
              <w:top w:w="28" w:type="dxa"/>
              <w:left w:w="28" w:type="dxa"/>
              <w:bottom w:w="28" w:type="dxa"/>
              <w:right w:w="28" w:type="dxa"/>
            </w:tcMar>
            <w:hideMark/>
          </w:tcPr>
          <w:p w14:paraId="7DF0DCF9" w14:textId="77777777" w:rsidR="00D70C1A" w:rsidRDefault="00D70C1A">
            <w:pPr>
              <w:spacing w:after="0"/>
            </w:pPr>
            <w:r>
              <w:rPr>
                <w:sz w:val="20"/>
                <w:szCs w:val="20"/>
              </w:rPr>
              <w:t xml:space="preserve">Potential link with </w:t>
            </w:r>
            <w:r>
              <w:rPr>
                <w:b/>
                <w:bCs/>
                <w:sz w:val="20"/>
                <w:szCs w:val="20"/>
              </w:rPr>
              <w:t>Digital Identity &amp; Onboarding WG</w:t>
            </w:r>
            <w:r>
              <w:rPr>
                <w:sz w:val="20"/>
                <w:szCs w:val="20"/>
              </w:rPr>
              <w:t xml:space="preserve"> for user interaction and permissioning. The topic remains largely distinct because it focuses on the future interaction layer.</w:t>
            </w:r>
          </w:p>
        </w:tc>
      </w:tr>
    </w:tbl>
    <w:p w14:paraId="28243D3A" w14:textId="77777777" w:rsidR="00616AC4" w:rsidRDefault="00616AC4"/>
    <w:p w14:paraId="1D5DBE91" w14:textId="26DA84C5" w:rsidR="00CB3C3C" w:rsidRDefault="004A128D">
      <w:r>
        <w:t>Glo</w:t>
      </w:r>
      <w:r w:rsidR="00AF609B">
        <w:t>ssary:</w:t>
      </w:r>
    </w:p>
    <w:p w14:paraId="1817B62C" w14:textId="6D580784" w:rsidR="00CB3C3C" w:rsidRDefault="00625053" w:rsidP="00AA60C0">
      <w:pPr>
        <w:pStyle w:val="ListParagraph"/>
        <w:numPr>
          <w:ilvl w:val="0"/>
          <w:numId w:val="1"/>
        </w:numPr>
      </w:pPr>
      <w:r>
        <w:t>Federated learning</w:t>
      </w:r>
      <w:r w:rsidR="00FB3013">
        <w:t xml:space="preserve"> (share </w:t>
      </w:r>
      <w:r w:rsidR="007A65DB">
        <w:t>intelligence)</w:t>
      </w:r>
      <w:r w:rsidR="001D6AA7">
        <w:t>: train ai models ac</w:t>
      </w:r>
      <w:r w:rsidR="005D1C58">
        <w:t>ross multiple organisations without moving the data</w:t>
      </w:r>
    </w:p>
    <w:p w14:paraId="33471867" w14:textId="1BA052E9" w:rsidR="005D1C58" w:rsidRDefault="00794DFF" w:rsidP="00AA60C0">
      <w:pPr>
        <w:pStyle w:val="ListParagraph"/>
        <w:numPr>
          <w:ilvl w:val="0"/>
          <w:numId w:val="1"/>
        </w:numPr>
      </w:pPr>
      <w:r>
        <w:t>Da</w:t>
      </w:r>
      <w:r w:rsidR="00A313C2">
        <w:t>ta clean room</w:t>
      </w:r>
      <w:r w:rsidR="007A65DB">
        <w:t xml:space="preserve"> (share insights)</w:t>
      </w:r>
      <w:r w:rsidR="00A313C2">
        <w:t xml:space="preserve">: </w:t>
      </w:r>
      <w:r w:rsidR="00EF0DC3">
        <w:t>secure environment w</w:t>
      </w:r>
      <w:r w:rsidR="00D46C10">
        <w:t xml:space="preserve">here multiple parties </w:t>
      </w:r>
      <w:r w:rsidR="00EC6E0D">
        <w:t xml:space="preserve">analyse combined data without </w:t>
      </w:r>
      <w:r w:rsidR="00F1101C">
        <w:t>exposing raw data</w:t>
      </w:r>
    </w:p>
    <w:p w14:paraId="3BB547AC" w14:textId="0E44A6B6" w:rsidR="00F1101C" w:rsidRDefault="002401C0" w:rsidP="00AA60C0">
      <w:pPr>
        <w:pStyle w:val="ListParagraph"/>
        <w:numPr>
          <w:ilvl w:val="0"/>
          <w:numId w:val="1"/>
        </w:numPr>
      </w:pPr>
      <w:r>
        <w:t>Zero cop</w:t>
      </w:r>
      <w:r w:rsidR="00254813">
        <w:t>y</w:t>
      </w:r>
      <w:r w:rsidR="00866E91">
        <w:t xml:space="preserve"> (share access)</w:t>
      </w:r>
      <w:r w:rsidR="00254813">
        <w:t xml:space="preserve">: </w:t>
      </w:r>
      <w:r w:rsidR="00DA2362">
        <w:t xml:space="preserve">using data where it </w:t>
      </w:r>
      <w:r w:rsidR="002928A3">
        <w:t>lives, without p</w:t>
      </w:r>
      <w:r w:rsidR="005F2427">
        <w:t>hysically moving or duplicating it</w:t>
      </w:r>
    </w:p>
    <w:p w14:paraId="12568263" w14:textId="1BD4C4CB" w:rsidR="00AF609B" w:rsidRDefault="00AF609B"/>
    <w:sectPr w:rsidR="00AF609B">
      <w:footerReference w:type="even" r:id="rId7"/>
      <w:footerReference w:type="default" r:id="rId8"/>
      <w:footerReference w:type="first" r:id="rId9"/>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endnote w:type="separator" w:id="-1">
    <w:p w14:paraId="02A6D964" w14:textId="77777777" w:rsidR="006E64EF" w:rsidRDefault="006E64EF" w:rsidP="00002304">
      <w:pPr>
        <w:spacing w:after="0" w:line="240" w:lineRule="auto"/>
      </w:pPr>
      <w:r>
        <w:separator/>
      </w:r>
    </w:p>
  </w:endnote>
  <w:endnote w:type="continuationSeparator" w:id="0">
    <w:p w14:paraId="38E595F8" w14:textId="77777777" w:rsidR="006E64EF" w:rsidRDefault="006E64EF" w:rsidP="0000230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ptos Display">
    <w:panose1 w:val="020B0004020202020204"/>
    <w:charset w:val="00"/>
    <w:family w:val="swiss"/>
    <w:pitch w:val="variable"/>
    <w:sig w:usb0="20000287" w:usb1="00000003" w:usb2="00000000" w:usb3="00000000" w:csb0="0000019F" w:csb1="00000000"/>
  </w:font>
  <w:font w:name=".AppleSystemUIFont">
    <w:altName w:val="Cambria"/>
    <w:panose1 w:val="020B0604020202020204"/>
    <w:charset w:val="00"/>
    <w:family w:val="roman"/>
    <w:pitch w:val="default"/>
  </w:font>
  <w:font w:name="UICTFontTextStyleBody">
    <w:altName w:val="Cambria"/>
    <w:panose1 w:val="020B0604020202020204"/>
    <w:charset w:val="00"/>
    <w:family w:val="roman"/>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68234515" w14:textId="2334CF23" w:rsidR="00002304" w:rsidRDefault="00002304">
    <w:pPr>
      <w:pStyle w:val="Footer"/>
    </w:pPr>
    <w:r>
      <w:rPr>
        <w:noProof/>
      </w:rPr>
      <mc:AlternateContent>
        <mc:Choice Requires="wps">
          <w:drawing>
            <wp:anchor distT="0" distB="0" distL="0" distR="0" simplePos="0" relativeHeight="251658241" behindDoc="0" locked="0" layoutInCell="1" allowOverlap="1" wp14:anchorId="3BFB26C4" wp14:editId="34D9FC8B">
              <wp:simplePos x="635" y="635"/>
              <wp:positionH relativeFrom="page">
                <wp:align>center</wp:align>
              </wp:positionH>
              <wp:positionV relativeFrom="page">
                <wp:align>bottom</wp:align>
              </wp:positionV>
              <wp:extent cx="423545" cy="370205"/>
              <wp:effectExtent l="0" t="0" r="14605" b="0"/>
              <wp:wrapNone/>
              <wp:docPr id="1638628349" name="Text Box 2" descr="Internal">
                <a:extLst xmlns:a="http://schemas.openxmlformats.org/drawingml/2006/main">
                  <a:ext uri="{FF2B5EF4-FFF2-40B4-BE49-F238E27FC236}">
                    <a16:creationId xmlns:a16="http://schemas.microsoft.com/office/drawing/2014/main" id="{3ECC289F-ED16-4D9D-AA52-8537DFD93C0E}"/>
                  </a:ext>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423545" cy="370205"/>
                      </a:xfrm>
                      <a:prstGeom prst="rect">
                        <a:avLst/>
                      </a:prstGeom>
                      <a:noFill/>
                      <a:ln>
                        <a:noFill/>
                      </a:ln>
                    </wps:spPr>
                    <wps:txbx>
                      <w:txbxContent>
                        <w:p w14:paraId="6FC8D1D0" w14:textId="06260D74" w:rsidR="00002304" w:rsidRPr="00002304" w:rsidRDefault="00002304" w:rsidP="00002304">
                          <w:pPr>
                            <w:spacing w:after="0"/>
                            <w:rPr>
                              <w:rFonts w:ascii="Aptos" w:eastAsia="Aptos" w:hAnsi="Aptos" w:cs="Aptos"/>
                              <w:noProof/>
                              <w:color w:val="000000"/>
                              <w:sz w:val="20"/>
                              <w:szCs w:val="20"/>
                            </w:rPr>
                          </w:pPr>
                          <w:r w:rsidRPr="00002304">
                            <w:rPr>
                              <w:rFonts w:ascii="Aptos" w:eastAsia="Aptos" w:hAnsi="Aptos" w:cs="Aptos"/>
                              <w:noProof/>
                              <w:color w:val="000000"/>
                              <w:sz w:val="20"/>
                              <w:szCs w:val="20"/>
                            </w:rPr>
                            <w:t>Internal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3BFB26C4" id="_x0000_t202" coordsize="21600,21600" o:spt="202" path="m,l,21600r21600,l21600,xe">
              <v:stroke joinstyle="miter"/>
              <v:path gradientshapeok="t" o:connecttype="rect"/>
            </v:shapetype>
            <v:shape id="Text Box 2" o:spid="_x0000_s1026" type="#_x0000_t202" alt="Internal" style="position:absolute;margin-left:0;margin-top:0;width:33.35pt;height:29.15pt;z-index:251658241;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" filled="f" stroked="f">
              <v:textbox style="mso-fit-shape-to-text:t" inset="0,0,0,15pt">
                <w:txbxContent>
                  <w:p w14:paraId="6FC8D1D0" w14:textId="06260D74" w:rsidR="00002304" w:rsidRPr="00002304" w:rsidRDefault="00002304" w:rsidP="00002304">
                    <w:pPr>
                      <w:spacing w:after="0"/>
                      <w:rPr>
                        <w:rFonts w:ascii="Aptos" w:eastAsia="Aptos" w:hAnsi="Aptos" w:cs="Aptos"/>
                        <w:noProof/>
                        <w:color w:val="000000"/>
                        <w:sz w:val="20"/>
                        <w:szCs w:val="20"/>
                      </w:rPr>
                    </w:pPr>
                    <w:r w:rsidRPr="00002304">
                      <w:rPr>
                        <w:rFonts w:ascii="Aptos" w:eastAsia="Aptos" w:hAnsi="Aptos" w:cs="Aptos"/>
                        <w:noProof/>
                        <w:color w:val="000000"/>
                        <w:sz w:val="20"/>
                        <w:szCs w:val="20"/>
                      </w:rPr>
                      <w:t>Internal</w:t>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19FA2B4B" w14:textId="69511BEB" w:rsidR="00002304" w:rsidRDefault="00002304">
    <w:pPr>
      <w:pStyle w:val="Footer"/>
    </w:pPr>
    <w:r>
      <w:rPr>
        <w:noProof/>
      </w:rPr>
      <mc:AlternateContent>
        <mc:Choice Requires="wps">
          <w:drawing>
            <wp:anchor distT="0" distB="0" distL="0" distR="0" simplePos="0" relativeHeight="251658242" behindDoc="0" locked="0" layoutInCell="1" allowOverlap="1" wp14:anchorId="67A9011A" wp14:editId="20DDE46D">
              <wp:simplePos x="914400" y="10058400"/>
              <wp:positionH relativeFrom="page">
                <wp:align>center</wp:align>
              </wp:positionH>
              <wp:positionV relativeFrom="page">
                <wp:align>bottom</wp:align>
              </wp:positionV>
              <wp:extent cx="423545" cy="370205"/>
              <wp:effectExtent l="0" t="0" r="14605" b="0"/>
              <wp:wrapNone/>
              <wp:docPr id="392006386" name="Text Box 3" descr="Internal">
                <a:extLst xmlns:a="http://schemas.openxmlformats.org/drawingml/2006/main">
                  <a:ext uri="{FF2B5EF4-FFF2-40B4-BE49-F238E27FC236}">
                    <a16:creationId xmlns:a16="http://schemas.microsoft.com/office/drawing/2014/main" id="{B87CB635-8B0E-424B-BABB-BDB7B092EA9A}"/>
                  </a:ext>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423545" cy="370205"/>
                      </a:xfrm>
                      <a:prstGeom prst="rect">
                        <a:avLst/>
                      </a:prstGeom>
                      <a:noFill/>
                      <a:ln>
                        <a:noFill/>
                      </a:ln>
                    </wps:spPr>
                    <wps:txbx>
                      <w:txbxContent>
                        <w:p w14:paraId="480355AB" w14:textId="42FA67C6" w:rsidR="00002304" w:rsidRPr="00002304" w:rsidRDefault="00002304" w:rsidP="00002304">
                          <w:pPr>
                            <w:spacing w:after="0"/>
                            <w:rPr>
                              <w:rFonts w:ascii="Aptos" w:eastAsia="Aptos" w:hAnsi="Aptos" w:cs="Aptos"/>
                              <w:noProof/>
                              <w:color w:val="000000"/>
                              <w:sz w:val="20"/>
                              <w:szCs w:val="20"/>
                            </w:rPr>
                          </w:pPr>
                          <w:r w:rsidRPr="00002304">
                            <w:rPr>
                              <w:rFonts w:ascii="Aptos" w:eastAsia="Aptos" w:hAnsi="Aptos" w:cs="Aptos"/>
                              <w:noProof/>
                              <w:color w:val="000000"/>
                              <w:sz w:val="20"/>
                              <w:szCs w:val="20"/>
                            </w:rPr>
                            <w:t>Internal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67A9011A" id="_x0000_t202" coordsize="21600,21600" o:spt="202" path="m,l,21600r21600,l21600,xe">
              <v:stroke joinstyle="miter"/>
              <v:path gradientshapeok="t" o:connecttype="rect"/>
            </v:shapetype>
            <v:shape id="Text Box 3" o:spid="_x0000_s1027" type="#_x0000_t202" alt="Internal" style="position:absolute;margin-left:0;margin-top:0;width:33.35pt;height:29.15pt;z-index:251658242;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" filled="f" stroked="f">
              <v:textbox style="mso-fit-shape-to-text:t" inset="0,0,0,15pt">
                <w:txbxContent>
                  <w:p w14:paraId="480355AB" w14:textId="42FA67C6" w:rsidR="00002304" w:rsidRPr="00002304" w:rsidRDefault="00002304" w:rsidP="00002304">
                    <w:pPr>
                      <w:spacing w:after="0"/>
                      <w:rPr>
                        <w:rFonts w:ascii="Aptos" w:eastAsia="Aptos" w:hAnsi="Aptos" w:cs="Aptos"/>
                        <w:noProof/>
                        <w:color w:val="000000"/>
                        <w:sz w:val="20"/>
                        <w:szCs w:val="20"/>
                      </w:rPr>
                    </w:pPr>
                    <w:r w:rsidRPr="00002304">
                      <w:rPr>
                        <w:rFonts w:ascii="Aptos" w:eastAsia="Aptos" w:hAnsi="Aptos" w:cs="Aptos"/>
                        <w:noProof/>
                        <w:color w:val="000000"/>
                        <w:sz w:val="20"/>
                        <w:szCs w:val="20"/>
                      </w:rPr>
                      <w:t>Internal</w:t>
                    </w:r>
                  </w:p>
                </w:txbxContent>
              </v:textbox>
              <w10:wrap anchorx="page" anchory="page"/>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23BC62D7" w14:textId="61D4F8F5" w:rsidR="00002304" w:rsidRDefault="00002304">
    <w:pPr>
      <w:pStyle w:val="Footer"/>
    </w:pPr>
    <w:r>
      <w:rPr>
        <w:noProof/>
      </w:rPr>
      <mc:AlternateContent>
        <mc:Choice Requires="wps">
          <w:drawing>
            <wp:anchor distT="0" distB="0" distL="0" distR="0" simplePos="0" relativeHeight="251658240" behindDoc="0" locked="0" layoutInCell="1" allowOverlap="1" wp14:anchorId="425FA818" wp14:editId="798F798C">
              <wp:simplePos x="635" y="635"/>
              <wp:positionH relativeFrom="page">
                <wp:align>center</wp:align>
              </wp:positionH>
              <wp:positionV relativeFrom="page">
                <wp:align>bottom</wp:align>
              </wp:positionV>
              <wp:extent cx="423545" cy="370205"/>
              <wp:effectExtent l="0" t="0" r="14605" b="0"/>
              <wp:wrapNone/>
              <wp:docPr id="1400820032" name="Text Box 1" descr="Internal">
                <a:extLst xmlns:a="http://schemas.openxmlformats.org/drawingml/2006/main">
                  <a:ext uri="{FF2B5EF4-FFF2-40B4-BE49-F238E27FC236}">
                    <a16:creationId xmlns:a16="http://schemas.microsoft.com/office/drawing/2014/main" id="{EBF40EF9-9CE2-45D5-8D8D-527C3686FBFB}"/>
                  </a:ext>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423545" cy="370205"/>
                      </a:xfrm>
                      <a:prstGeom prst="rect">
                        <a:avLst/>
                      </a:prstGeom>
                      <a:noFill/>
                      <a:ln>
                        <a:noFill/>
                      </a:ln>
                    </wps:spPr>
                    <wps:txbx>
                      <w:txbxContent>
                        <w:p w14:paraId="070125CC" w14:textId="5213A580" w:rsidR="00002304" w:rsidRPr="00002304" w:rsidRDefault="00002304" w:rsidP="00002304">
                          <w:pPr>
                            <w:spacing w:after="0"/>
                            <w:rPr>
                              <w:rFonts w:ascii="Aptos" w:eastAsia="Aptos" w:hAnsi="Aptos" w:cs="Aptos"/>
                              <w:noProof/>
                              <w:color w:val="000000"/>
                              <w:sz w:val="20"/>
                              <w:szCs w:val="20"/>
                            </w:rPr>
                          </w:pPr>
                          <w:r w:rsidRPr="00002304">
                            <w:rPr>
                              <w:rFonts w:ascii="Aptos" w:eastAsia="Aptos" w:hAnsi="Aptos" w:cs="Aptos"/>
                              <w:noProof/>
                              <w:color w:val="000000"/>
                              <w:sz w:val="20"/>
                              <w:szCs w:val="20"/>
                            </w:rPr>
                            <w:t>Internal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425FA818" id="_x0000_t202" coordsize="21600,21600" o:spt="202" path="m,l,21600r21600,l21600,xe">
              <v:stroke joinstyle="miter"/>
              <v:path gradientshapeok="t" o:connecttype="rect"/>
            </v:shapetype>
            <v:shape id="Text Box 1" o:spid="_x0000_s1028" type="#_x0000_t202" alt="Internal" style="position:absolute;margin-left:0;margin-top:0;width:33.35pt;height:29.15pt;z-index:251658240;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" filled="f" stroked="f">
              <v:textbox style="mso-fit-shape-to-text:t" inset="0,0,0,15pt">
                <w:txbxContent>
                  <w:p w14:paraId="070125CC" w14:textId="5213A580" w:rsidR="00002304" w:rsidRPr="00002304" w:rsidRDefault="00002304" w:rsidP="00002304">
                    <w:pPr>
                      <w:spacing w:after="0"/>
                      <w:rPr>
                        <w:rFonts w:ascii="Aptos" w:eastAsia="Aptos" w:hAnsi="Aptos" w:cs="Aptos"/>
                        <w:noProof/>
                        <w:color w:val="000000"/>
                        <w:sz w:val="20"/>
                        <w:szCs w:val="20"/>
                      </w:rPr>
                    </w:pPr>
                    <w:r w:rsidRPr="00002304">
                      <w:rPr>
                        <w:rFonts w:ascii="Aptos" w:eastAsia="Aptos" w:hAnsi="Aptos" w:cs="Aptos"/>
                        <w:noProof/>
                        <w:color w:val="000000"/>
                        <w:sz w:val="20"/>
                        <w:szCs w:val="20"/>
                      </w:rPr>
                      <w:t>Internal</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footnote w:type="separator" w:id="-1">
    <w:p w14:paraId="70D78E9D" w14:textId="77777777" w:rsidR="006E64EF" w:rsidRDefault="006E64EF" w:rsidP="00002304">
      <w:pPr>
        <w:spacing w:after="0" w:line="240" w:lineRule="auto"/>
      </w:pPr>
      <w:r>
        <w:separator/>
      </w:r>
    </w:p>
  </w:footnote>
  <w:footnote w:type="continuationSeparator" w:id="0">
    <w:p w14:paraId="1003FB28" w14:textId="77777777" w:rsidR="006E64EF" w:rsidRDefault="006E64EF" w:rsidP="00002304">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6F8D4C38"/>
    <w:multiLevelType w:val="hybridMultilevel"/>
    <w:tmpl w:val="8CE242AE"/>
    <w:lvl w:ilvl="0" w:tplc="FFFFFFFF">
      <w:numFmt w:val="bullet"/>
      <w:lvlText w:val="-"/>
      <w:lvlJc w:val="left"/>
      <w:pPr>
        <w:ind w:left="720" w:hanging="360"/>
      </w:pPr>
      <w:rPr>
        <w:rFonts w:ascii="Aptos" w:eastAsiaTheme="minorHAnsi" w:hAnsi="Aptos" w:cstheme="minorBidi"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960652679">
    <w:abstractNumId w:val="0"/>
  </w:num>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50"/>
  <w:hideSpellingErrors/>
  <w:hideGrammaticalErrors/>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02304"/>
    <w:rsid w:val="00002304"/>
    <w:rsid w:val="00012F86"/>
    <w:rsid w:val="00020F50"/>
    <w:rsid w:val="00025F8E"/>
    <w:rsid w:val="00027F5E"/>
    <w:rsid w:val="00030B82"/>
    <w:rsid w:val="00065F41"/>
    <w:rsid w:val="00073236"/>
    <w:rsid w:val="00095EAC"/>
    <w:rsid w:val="000A1E85"/>
    <w:rsid w:val="000C6622"/>
    <w:rsid w:val="000E342C"/>
    <w:rsid w:val="000E4D6C"/>
    <w:rsid w:val="000F450C"/>
    <w:rsid w:val="00183258"/>
    <w:rsid w:val="0019445D"/>
    <w:rsid w:val="0019754B"/>
    <w:rsid w:val="001A4C40"/>
    <w:rsid w:val="001B2A03"/>
    <w:rsid w:val="001B2EF5"/>
    <w:rsid w:val="001B40D7"/>
    <w:rsid w:val="001C334F"/>
    <w:rsid w:val="001D6AA7"/>
    <w:rsid w:val="001E3524"/>
    <w:rsid w:val="00203DEB"/>
    <w:rsid w:val="002140FA"/>
    <w:rsid w:val="002401C0"/>
    <w:rsid w:val="00242439"/>
    <w:rsid w:val="00254813"/>
    <w:rsid w:val="0025503C"/>
    <w:rsid w:val="00261A0C"/>
    <w:rsid w:val="002728B3"/>
    <w:rsid w:val="002810F5"/>
    <w:rsid w:val="002870F8"/>
    <w:rsid w:val="00290644"/>
    <w:rsid w:val="002928A3"/>
    <w:rsid w:val="002A72D3"/>
    <w:rsid w:val="002C6C54"/>
    <w:rsid w:val="002C71B3"/>
    <w:rsid w:val="002E0062"/>
    <w:rsid w:val="003028BA"/>
    <w:rsid w:val="003061E2"/>
    <w:rsid w:val="00307086"/>
    <w:rsid w:val="00314FCD"/>
    <w:rsid w:val="00321F17"/>
    <w:rsid w:val="00351BAF"/>
    <w:rsid w:val="00357196"/>
    <w:rsid w:val="003575C5"/>
    <w:rsid w:val="003679E2"/>
    <w:rsid w:val="00373730"/>
    <w:rsid w:val="003A18CF"/>
    <w:rsid w:val="003C3010"/>
    <w:rsid w:val="003D0940"/>
    <w:rsid w:val="00415396"/>
    <w:rsid w:val="00430F60"/>
    <w:rsid w:val="00436A36"/>
    <w:rsid w:val="00466E33"/>
    <w:rsid w:val="004906B9"/>
    <w:rsid w:val="00492ACC"/>
    <w:rsid w:val="00496A30"/>
    <w:rsid w:val="004A128D"/>
    <w:rsid w:val="004A53E0"/>
    <w:rsid w:val="004A6D7B"/>
    <w:rsid w:val="004A7553"/>
    <w:rsid w:val="004B1F7D"/>
    <w:rsid w:val="004D0864"/>
    <w:rsid w:val="004E5051"/>
    <w:rsid w:val="004E5597"/>
    <w:rsid w:val="00513430"/>
    <w:rsid w:val="00523310"/>
    <w:rsid w:val="00564A5A"/>
    <w:rsid w:val="00575301"/>
    <w:rsid w:val="005B377E"/>
    <w:rsid w:val="005C1699"/>
    <w:rsid w:val="005D1C58"/>
    <w:rsid w:val="005D50D6"/>
    <w:rsid w:val="005F2427"/>
    <w:rsid w:val="00601DEA"/>
    <w:rsid w:val="00616AC4"/>
    <w:rsid w:val="00625053"/>
    <w:rsid w:val="00634514"/>
    <w:rsid w:val="0063703D"/>
    <w:rsid w:val="00651107"/>
    <w:rsid w:val="006818D3"/>
    <w:rsid w:val="0069066C"/>
    <w:rsid w:val="006A48C3"/>
    <w:rsid w:val="006D39D5"/>
    <w:rsid w:val="006E554C"/>
    <w:rsid w:val="006E64EF"/>
    <w:rsid w:val="00794DFF"/>
    <w:rsid w:val="007A65DB"/>
    <w:rsid w:val="007D08F2"/>
    <w:rsid w:val="007F1197"/>
    <w:rsid w:val="00820379"/>
    <w:rsid w:val="00844AE2"/>
    <w:rsid w:val="008513E4"/>
    <w:rsid w:val="0085591A"/>
    <w:rsid w:val="008647E1"/>
    <w:rsid w:val="00866E91"/>
    <w:rsid w:val="00873F00"/>
    <w:rsid w:val="00875D2A"/>
    <w:rsid w:val="008A1138"/>
    <w:rsid w:val="008A41DC"/>
    <w:rsid w:val="008B715C"/>
    <w:rsid w:val="008C7E72"/>
    <w:rsid w:val="008E45D7"/>
    <w:rsid w:val="0090003D"/>
    <w:rsid w:val="00980129"/>
    <w:rsid w:val="00990B0A"/>
    <w:rsid w:val="009A0303"/>
    <w:rsid w:val="009C5AF5"/>
    <w:rsid w:val="009E150F"/>
    <w:rsid w:val="00A054B3"/>
    <w:rsid w:val="00A11B52"/>
    <w:rsid w:val="00A313C2"/>
    <w:rsid w:val="00AA60C0"/>
    <w:rsid w:val="00AB78FE"/>
    <w:rsid w:val="00AD112E"/>
    <w:rsid w:val="00AF609B"/>
    <w:rsid w:val="00AF6FDF"/>
    <w:rsid w:val="00B1591D"/>
    <w:rsid w:val="00B3079E"/>
    <w:rsid w:val="00B408BC"/>
    <w:rsid w:val="00B75E01"/>
    <w:rsid w:val="00B7789F"/>
    <w:rsid w:val="00BE062E"/>
    <w:rsid w:val="00C228E4"/>
    <w:rsid w:val="00C47C41"/>
    <w:rsid w:val="00C93014"/>
    <w:rsid w:val="00C94F76"/>
    <w:rsid w:val="00CA2BE0"/>
    <w:rsid w:val="00CB0424"/>
    <w:rsid w:val="00CB1A8B"/>
    <w:rsid w:val="00CB3C3C"/>
    <w:rsid w:val="00CE0AE5"/>
    <w:rsid w:val="00D260C8"/>
    <w:rsid w:val="00D4448F"/>
    <w:rsid w:val="00D46C10"/>
    <w:rsid w:val="00D62F48"/>
    <w:rsid w:val="00D70C1A"/>
    <w:rsid w:val="00D871E6"/>
    <w:rsid w:val="00D95B51"/>
    <w:rsid w:val="00D97F8F"/>
    <w:rsid w:val="00DA2362"/>
    <w:rsid w:val="00DB279B"/>
    <w:rsid w:val="00DB682D"/>
    <w:rsid w:val="00DC4ACB"/>
    <w:rsid w:val="00DE5DA6"/>
    <w:rsid w:val="00DE5E77"/>
    <w:rsid w:val="00DF653F"/>
    <w:rsid w:val="00E00439"/>
    <w:rsid w:val="00E21281"/>
    <w:rsid w:val="00E21D2C"/>
    <w:rsid w:val="00E2506F"/>
    <w:rsid w:val="00E342E2"/>
    <w:rsid w:val="00E37E96"/>
    <w:rsid w:val="00E5172C"/>
    <w:rsid w:val="00E62A53"/>
    <w:rsid w:val="00E7649C"/>
    <w:rsid w:val="00E86BA8"/>
    <w:rsid w:val="00E94C84"/>
    <w:rsid w:val="00EB49CC"/>
    <w:rsid w:val="00EC6E0D"/>
    <w:rsid w:val="00EF0DC3"/>
    <w:rsid w:val="00EF26F6"/>
    <w:rsid w:val="00EF32A8"/>
    <w:rsid w:val="00EF35DC"/>
    <w:rsid w:val="00EF41A6"/>
    <w:rsid w:val="00EF73EE"/>
    <w:rsid w:val="00F041D3"/>
    <w:rsid w:val="00F1101C"/>
    <w:rsid w:val="00F11A18"/>
    <w:rsid w:val="00F27FBC"/>
    <w:rsid w:val="00F40EC2"/>
    <w:rsid w:val="00F4419A"/>
    <w:rsid w:val="00F54A85"/>
    <w:rsid w:val="00F63576"/>
    <w:rsid w:val="00F64418"/>
    <w:rsid w:val="00F80AE5"/>
    <w:rsid w:val="00F80F7C"/>
    <w:rsid w:val="00F86FBC"/>
    <w:rsid w:val="00F95759"/>
    <w:rsid w:val="00FB3013"/>
    <w:rsid w:val="00FB30E3"/>
    <w:rsid w:val="00FE0BB9"/>
    <w:rsid w:val="00FE1DDC"/>
    <w:rsid w:val="00FF2C8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B5C346F"/>
  <w15:chartTrackingRefBased/>
  <w15:docId w15:val="{E3DA85A4-BBCB-4227-A79C-1B5ABB4DE79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heme="minorHAnsi" w:eastAsiaTheme="minorHAnsi" w:hAnsiTheme="minorHAnsi" w:cstheme="minorBidi"/>
        <w:kern w:val="2"/>
        <w:sz w:val="24"/>
        <w:szCs w:val="24"/>
        <w:lang w:val="en-GB"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002304"/>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002304"/>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002304"/>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002304"/>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002304"/>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002304"/>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002304"/>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002304"/>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002304"/>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002304"/>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002304"/>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002304"/>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002304"/>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002304"/>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002304"/>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002304"/>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002304"/>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002304"/>
    <w:rPr>
      <w:rFonts w:eastAsiaTheme="majorEastAsia" w:cstheme="majorBidi"/>
      <w:color w:val="272727" w:themeColor="text1" w:themeTint="D8"/>
    </w:rPr>
  </w:style>
  <w:style w:type="paragraph" w:styleId="Title">
    <w:name w:val="Title"/>
    <w:basedOn w:val="Normal"/>
    <w:next w:val="Normal"/>
    <w:link w:val="TitleChar"/>
    <w:uiPriority w:val="10"/>
    <w:qFormat/>
    <w:rsid w:val="00002304"/>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002304"/>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002304"/>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002304"/>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002304"/>
    <w:pPr>
      <w:spacing w:before="160"/>
      <w:jc w:val="center"/>
    </w:pPr>
    <w:rPr>
      <w:i/>
      <w:iCs/>
      <w:color w:val="404040" w:themeColor="text1" w:themeTint="BF"/>
    </w:rPr>
  </w:style>
  <w:style w:type="character" w:customStyle="1" w:styleId="QuoteChar">
    <w:name w:val="Quote Char"/>
    <w:basedOn w:val="DefaultParagraphFont"/>
    <w:link w:val="Quote"/>
    <w:uiPriority w:val="29"/>
    <w:rsid w:val="00002304"/>
    <w:rPr>
      <w:i/>
      <w:iCs/>
      <w:color w:val="404040" w:themeColor="text1" w:themeTint="BF"/>
    </w:rPr>
  </w:style>
  <w:style w:type="paragraph" w:styleId="ListParagraph">
    <w:name w:val="List Paragraph"/>
    <w:basedOn w:val="Normal"/>
    <w:uiPriority w:val="34"/>
    <w:qFormat/>
    <w:rsid w:val="00002304"/>
    <w:pPr>
      <w:ind w:left="720"/>
      <w:contextualSpacing/>
    </w:pPr>
  </w:style>
  <w:style w:type="character" w:styleId="IntenseEmphasis">
    <w:name w:val="Intense Emphasis"/>
    <w:basedOn w:val="DefaultParagraphFont"/>
    <w:uiPriority w:val="21"/>
    <w:qFormat/>
    <w:rsid w:val="00002304"/>
    <w:rPr>
      <w:i/>
      <w:iCs/>
      <w:color w:val="0F4761" w:themeColor="accent1" w:themeShade="BF"/>
    </w:rPr>
  </w:style>
  <w:style w:type="paragraph" w:styleId="IntenseQuote">
    <w:name w:val="Intense Quote"/>
    <w:basedOn w:val="Normal"/>
    <w:next w:val="Normal"/>
    <w:link w:val="IntenseQuoteChar"/>
    <w:uiPriority w:val="30"/>
    <w:qFormat/>
    <w:rsid w:val="00002304"/>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002304"/>
    <w:rPr>
      <w:i/>
      <w:iCs/>
      <w:color w:val="0F4761" w:themeColor="accent1" w:themeShade="BF"/>
    </w:rPr>
  </w:style>
  <w:style w:type="character" w:styleId="IntenseReference">
    <w:name w:val="Intense Reference"/>
    <w:basedOn w:val="DefaultParagraphFont"/>
    <w:uiPriority w:val="32"/>
    <w:qFormat/>
    <w:rsid w:val="00002304"/>
    <w:rPr>
      <w:b/>
      <w:bCs/>
      <w:smallCaps/>
      <w:color w:val="0F4761" w:themeColor="accent1" w:themeShade="BF"/>
      <w:spacing w:val="5"/>
    </w:rPr>
  </w:style>
  <w:style w:type="table" w:styleId="TableGridLight">
    <w:name w:val="Grid Table Light"/>
    <w:basedOn w:val="TableNormal"/>
    <w:uiPriority w:val="40"/>
    <w:rsid w:val="00002304"/>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leGrid">
    <w:name w:val="Table Grid"/>
    <w:basedOn w:val="TableNormal"/>
    <w:uiPriority w:val="39"/>
    <w:rsid w:val="0000230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er">
    <w:name w:val="footer"/>
    <w:basedOn w:val="Normal"/>
    <w:link w:val="FooterChar"/>
    <w:uiPriority w:val="99"/>
    <w:unhideWhenUsed/>
    <w:rsid w:val="00002304"/>
    <w:pPr>
      <w:tabs>
        <w:tab w:val="center" w:pos="4513"/>
        <w:tab w:val="right" w:pos="9026"/>
      </w:tabs>
      <w:spacing w:after="0" w:line="240" w:lineRule="auto"/>
    </w:pPr>
  </w:style>
  <w:style w:type="character" w:customStyle="1" w:styleId="FooterChar">
    <w:name w:val="Footer Char"/>
    <w:basedOn w:val="DefaultParagraphFont"/>
    <w:link w:val="Footer"/>
    <w:uiPriority w:val="99"/>
    <w:rsid w:val="00002304"/>
  </w:style>
  <w:style w:type="paragraph" w:styleId="Header">
    <w:name w:val="header"/>
    <w:basedOn w:val="Normal"/>
    <w:link w:val="HeaderChar"/>
    <w:uiPriority w:val="99"/>
    <w:semiHidden/>
    <w:unhideWhenUsed/>
    <w:rsid w:val="00C228E4"/>
    <w:pPr>
      <w:tabs>
        <w:tab w:val="center" w:pos="4513"/>
        <w:tab w:val="right" w:pos="9026"/>
      </w:tabs>
      <w:spacing w:after="0" w:line="240" w:lineRule="auto"/>
    </w:pPr>
  </w:style>
  <w:style w:type="character" w:customStyle="1" w:styleId="HeaderChar">
    <w:name w:val="Header Char"/>
    <w:basedOn w:val="DefaultParagraphFont"/>
    <w:link w:val="Header"/>
    <w:uiPriority w:val="99"/>
    <w:semiHidden/>
    <w:rsid w:val="00C228E4"/>
  </w:style>
  <w:style w:type="paragraph" w:customStyle="1" w:styleId="p1">
    <w:name w:val="p1"/>
    <w:basedOn w:val="Normal"/>
    <w:rsid w:val="004A7553"/>
    <w:pPr>
      <w:spacing w:after="180" w:line="240" w:lineRule="auto"/>
    </w:pPr>
    <w:rPr>
      <w:rFonts w:ascii=".AppleSystemUIFont" w:eastAsiaTheme="minorEastAsia" w:hAnsi=".AppleSystemUIFont" w:cs="Times New Roman"/>
      <w:color w:val="000000"/>
      <w:kern w:val="0"/>
      <w:lang w:eastAsia="en-GB"/>
      <w14:ligatures w14:val="none"/>
    </w:rPr>
  </w:style>
  <w:style w:type="character" w:customStyle="1" w:styleId="s1">
    <w:name w:val="s1"/>
    <w:basedOn w:val="DefaultParagraphFont"/>
    <w:rsid w:val="004A7553"/>
    <w:rPr>
      <w:rFonts w:ascii="UICTFontTextStyleBody" w:hAnsi="UICTFontTextStyleBody" w:hint="default"/>
      <w:b w:val="0"/>
      <w:bCs w:val="0"/>
      <w:i w:val="0"/>
      <w:iCs w:val="0"/>
      <w:sz w:val="24"/>
      <w:szCs w:val="24"/>
    </w:rPr>
  </w:style>
  <w:style w:type="character" w:styleId="CommentReference">
    <w:name w:val="annotation reference"/>
    <w:basedOn w:val="DefaultParagraphFont"/>
    <w:uiPriority w:val="99"/>
    <w:semiHidden/>
    <w:unhideWhenUsed/>
    <w:rsid w:val="00CB1A8B"/>
    <w:rPr>
      <w:sz w:val="16"/>
      <w:szCs w:val="16"/>
    </w:rPr>
  </w:style>
  <w:style w:type="paragraph" w:styleId="CommentText">
    <w:name w:val="annotation text"/>
    <w:basedOn w:val="Normal"/>
    <w:link w:val="CommentTextChar"/>
    <w:uiPriority w:val="99"/>
    <w:unhideWhenUsed/>
    <w:rsid w:val="00CB1A8B"/>
    <w:pPr>
      <w:spacing w:line="240" w:lineRule="auto"/>
    </w:pPr>
    <w:rPr>
      <w:sz w:val="20"/>
      <w:szCs w:val="20"/>
    </w:rPr>
  </w:style>
  <w:style w:type="character" w:customStyle="1" w:styleId="CommentTextChar">
    <w:name w:val="Comment Text Char"/>
    <w:basedOn w:val="DefaultParagraphFont"/>
    <w:link w:val="CommentText"/>
    <w:uiPriority w:val="99"/>
    <w:rsid w:val="00CB1A8B"/>
    <w:rPr>
      <w:sz w:val="20"/>
      <w:szCs w:val="20"/>
    </w:rPr>
  </w:style>
  <w:style w:type="paragraph" w:styleId="CommentSubject">
    <w:name w:val="annotation subject"/>
    <w:basedOn w:val="CommentText"/>
    <w:next w:val="CommentText"/>
    <w:link w:val="CommentSubjectChar"/>
    <w:uiPriority w:val="99"/>
    <w:semiHidden/>
    <w:unhideWhenUsed/>
    <w:rsid w:val="00CB1A8B"/>
    <w:rPr>
      <w:b/>
      <w:bCs/>
    </w:rPr>
  </w:style>
  <w:style w:type="character" w:customStyle="1" w:styleId="CommentSubjectChar">
    <w:name w:val="Comment Subject Char"/>
    <w:basedOn w:val="CommentTextChar"/>
    <w:link w:val="CommentSubject"/>
    <w:uiPriority w:val="99"/>
    <w:semiHidden/>
    <w:rsid w:val="00CB1A8B"/>
    <w:rPr>
      <w:b/>
      <w:bCs/>
      <w:sz w:val="20"/>
      <w:szCs w:val="20"/>
    </w:rPr>
  </w:style>
  <w:style w:type="character" w:styleId="Hyperlink">
    <w:name w:val="Hyperlink"/>
    <w:basedOn w:val="DefaultParagraphFont"/>
    <w:uiPriority w:val="99"/>
    <w:unhideWhenUsed/>
    <w:rsid w:val="002870F8"/>
    <w:rPr>
      <w:color w:val="467886" w:themeColor="hyperlink"/>
      <w:u w:val="single"/>
    </w:rPr>
  </w:style>
  <w:style w:type="character" w:styleId="UnresolvedMention">
    <w:name w:val="Unresolved Mention"/>
    <w:basedOn w:val="DefaultParagraphFont"/>
    <w:uiPriority w:val="99"/>
    <w:semiHidden/>
    <w:unhideWhenUsed/>
    <w:rsid w:val="002870F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Metadata/LabelInfo.xml><?xml version="1.0" encoding="utf-8"?>
<clbl:labelList xmlns:clbl="http://schemas.microsoft.com/office/2020/mipLabelMetadata">
  <clbl:label id="{2e952e98-911c-4aff-840a-f71bc6baaf7f}" enabled="1" method="Privileged" siteId="{e00ddcdf-1e0f-4be5-a37a-894a4731986a}" contentBits="2" removed="0"/>
</clbl:labelList>
</file>

<file path=docProps/app.xml><?xml version="1.0" encoding="utf-8"?>
<Properties xmlns="http://schemas.openxmlformats.org/officeDocument/2006/extended-properties" xmlns:vt="http://schemas.openxmlformats.org/officeDocument/2006/docPropsVTypes">
  <Template>Normal.dotm</Template>
  <TotalTime>0</TotalTime>
  <Pages>3</Pages>
  <Words>647</Words>
  <Characters>3875</Characters>
  <Application>Microsoft Office Word</Application>
  <DocSecurity>0</DocSecurity>
  <Lines>191</Lines>
  <Paragraphs>47</Paragraphs>
  <ScaleCrop>false</ScaleCrop>
  <Company>Deutsche Boerse Group</Company>
  <LinksUpToDate>false</LinksUpToDate>
  <CharactersWithSpaces>4478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Vic Arulchandran</dc:creator>
  <cp:keywords/>
  <dc:description/>
  <cp:lastModifiedBy>William Hodash</cp:lastModifiedBy>
  <cp:revision>2</cp:revision>
  <dcterms:created xsi:type="dcterms:W3CDTF">2026-07-09T13:36:00Z</dcterms:created>
  <dcterms:modified xsi:type="dcterms:W3CDTF">2026-07-09T13:36:00Z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lassificationContentMarkingFooterShapeIds">
    <vt:lpwstr>537ed140,61ab7bfd,175d8af2</vt:lpwstr>
  </property>
  <property fmtid="{D5CDD505-2E9C-101B-9397-08002B2CF9AE}" pid="3" name="ClassificationContentMarkingFooterFontProps">
    <vt:lpwstr>#000000,10,Aptos</vt:lpwstr>
  </property>
  <property fmtid="{D5CDD505-2E9C-101B-9397-08002B2CF9AE}" pid="4" name="ClassificationContentMarkingFooterText">
    <vt:lpwstr>Internal</vt:lpwstr>
  </property>
  <property fmtid="{D5CDD505-2E9C-101B-9397-08002B2CF9AE}" pid="5" name="MSIP_Label_2e952e98-911c-4aff-840a-f71bc6baaf7f_Enabled">
    <vt:lpwstr>true</vt:lpwstr>
  </property>
  <property fmtid="{D5CDD505-2E9C-101B-9397-08002B2CF9AE}" pid="6" name="MSIP_Label_2e952e98-911c-4aff-840a-f71bc6baaf7f_SetDate">
    <vt:lpwstr>2026-06-24T07:33:47Z</vt:lpwstr>
  </property>
  <property fmtid="{D5CDD505-2E9C-101B-9397-08002B2CF9AE}" pid="7" name="MSIP_Label_2e952e98-911c-4aff-840a-f71bc6baaf7f_Method">
    <vt:lpwstr>Privileged</vt:lpwstr>
  </property>
  <property fmtid="{D5CDD505-2E9C-101B-9397-08002B2CF9AE}" pid="8" name="MSIP_Label_2e952e98-911c-4aff-840a-f71bc6baaf7f_Name">
    <vt:lpwstr>2e952e98-911c-4aff-840a-f71bc6baaf7f</vt:lpwstr>
  </property>
  <property fmtid="{D5CDD505-2E9C-101B-9397-08002B2CF9AE}" pid="9" name="MSIP_Label_2e952e98-911c-4aff-840a-f71bc6baaf7f_SiteId">
    <vt:lpwstr>e00ddcdf-1e0f-4be5-a37a-894a4731986a</vt:lpwstr>
  </property>
  <property fmtid="{D5CDD505-2E9C-101B-9397-08002B2CF9AE}" pid="10" name="MSIP_Label_2e952e98-911c-4aff-840a-f71bc6baaf7f_ActionId">
    <vt:lpwstr>3e177b05-b940-4233-9242-9bdc3bde9bd0</vt:lpwstr>
  </property>
  <property fmtid="{D5CDD505-2E9C-101B-9397-08002B2CF9AE}" pid="11" name="MSIP_Label_2e952e98-911c-4aff-840a-f71bc6baaf7f_ContentBits">
    <vt:lpwstr>2</vt:lpwstr>
  </property>
  <property fmtid="{D5CDD505-2E9C-101B-9397-08002B2CF9AE}" pid="12" name="MSIP_Label_2e952e98-911c-4aff-840a-f71bc6baaf7f_Tag">
    <vt:lpwstr>10, 0, 1, 1</vt:lpwstr>
  </property>
</Properties>
</file>